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1A3AF" w14:textId="77777777" w:rsidR="00F46A9E" w:rsidRPr="00174DF2" w:rsidRDefault="00F46A9E" w:rsidP="00F46A9E">
      <w:pPr>
        <w:pStyle w:val="Title"/>
        <w:rPr>
          <w:rFonts w:asciiTheme="minorHAnsi" w:hAnsiTheme="minorHAnsi"/>
          <w:b/>
          <w:color w:val="6C1D45"/>
        </w:rPr>
      </w:pPr>
      <w:r w:rsidRPr="003D469D">
        <w:rPr>
          <w:noProof/>
          <w:color w:val="6C1D45"/>
        </w:rPr>
        <w:drawing>
          <wp:inline distT="0" distB="0" distL="0" distR="0" wp14:anchorId="7B3B2127" wp14:editId="2673D346">
            <wp:extent cx="1153795" cy="640715"/>
            <wp:effectExtent l="0" t="0" r="1905" b="0"/>
            <wp:docPr id="1" name="Picture 1" descr="McMaster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cMaster Universit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3795" cy="640715"/>
                    </a:xfrm>
                    <a:prstGeom prst="rect">
                      <a:avLst/>
                    </a:prstGeom>
                    <a:noFill/>
                    <a:ln>
                      <a:noFill/>
                    </a:ln>
                  </pic:spPr>
                </pic:pic>
              </a:graphicData>
            </a:graphic>
          </wp:inline>
        </w:drawing>
      </w:r>
      <w:r w:rsidRPr="003D469D">
        <w:rPr>
          <w:color w:val="6C1D45"/>
        </w:rPr>
        <w:t xml:space="preserve">  </w:t>
      </w:r>
      <w:r w:rsidRPr="00174DF2">
        <w:rPr>
          <w:rFonts w:asciiTheme="minorHAnsi" w:hAnsiTheme="minorHAnsi"/>
          <w:b/>
          <w:color w:val="6C1D45"/>
        </w:rPr>
        <w:t>Arts Research Board Policy</w:t>
      </w:r>
    </w:p>
    <w:p w14:paraId="7BAB5162" w14:textId="1FC95C74" w:rsidR="002F3329" w:rsidRDefault="00D2697C" w:rsidP="00195FF3">
      <w:pPr>
        <w:pStyle w:val="Heading1"/>
        <w:ind w:left="5040" w:firstLine="720"/>
        <w:jc w:val="center"/>
        <w:rPr>
          <w:rFonts w:asciiTheme="minorHAnsi" w:hAnsiTheme="minorHAnsi"/>
          <w:color w:val="663300"/>
          <w:sz w:val="24"/>
          <w:szCs w:val="24"/>
        </w:rPr>
      </w:pPr>
      <w:r w:rsidRPr="00B93999">
        <w:rPr>
          <w:rFonts w:asciiTheme="minorHAnsi" w:hAnsiTheme="minorHAnsi"/>
          <w:color w:val="663300"/>
          <w:sz w:val="24"/>
          <w:szCs w:val="24"/>
        </w:rPr>
        <w:t xml:space="preserve">Effective </w:t>
      </w:r>
      <w:r w:rsidR="002D6CAF">
        <w:rPr>
          <w:rFonts w:asciiTheme="minorHAnsi" w:hAnsiTheme="minorHAnsi"/>
          <w:color w:val="663300"/>
          <w:sz w:val="24"/>
          <w:szCs w:val="24"/>
        </w:rPr>
        <w:t>June 2024</w:t>
      </w:r>
    </w:p>
    <w:p w14:paraId="475A98A5" w14:textId="77777777" w:rsidR="00F46A9E" w:rsidRPr="00F46A9E" w:rsidRDefault="00F46A9E" w:rsidP="00F46A9E"/>
    <w:p w14:paraId="14E84C8D" w14:textId="77777777" w:rsidR="00847870" w:rsidRPr="00174DF2" w:rsidRDefault="00847870" w:rsidP="00233EEA">
      <w:pPr>
        <w:pStyle w:val="Heading1"/>
        <w:rPr>
          <w:rFonts w:asciiTheme="minorHAnsi" w:hAnsiTheme="minorHAnsi"/>
          <w:sz w:val="24"/>
          <w:szCs w:val="24"/>
        </w:rPr>
      </w:pPr>
      <w:r w:rsidRPr="00174DF2">
        <w:rPr>
          <w:rFonts w:asciiTheme="minorHAnsi" w:hAnsiTheme="minorHAnsi"/>
          <w:sz w:val="24"/>
          <w:szCs w:val="24"/>
        </w:rPr>
        <w:t>History of the ARB</w:t>
      </w:r>
    </w:p>
    <w:p w14:paraId="2ECD6B01" w14:textId="77777777" w:rsidR="0027378D" w:rsidRPr="00174DF2" w:rsidRDefault="0027378D" w:rsidP="003D469D">
      <w:pPr>
        <w:spacing w:after="0" w:line="240" w:lineRule="auto"/>
      </w:pPr>
    </w:p>
    <w:p w14:paraId="198EDE88" w14:textId="77777777" w:rsidR="00847870" w:rsidRPr="00DF265B" w:rsidRDefault="00847870" w:rsidP="00F77239">
      <w:pPr>
        <w:spacing w:after="0" w:line="240" w:lineRule="auto"/>
        <w:jc w:val="both"/>
      </w:pPr>
      <w:r w:rsidRPr="00DF265B">
        <w:t xml:space="preserve">The Arts Research Board (ARB) has its roots in the Research Advisory Committee (RAC) for the </w:t>
      </w:r>
      <w:proofErr w:type="gramStart"/>
      <w:r w:rsidRPr="00DF265B">
        <w:t>Arts</w:t>
      </w:r>
      <w:proofErr w:type="gramEnd"/>
      <w:r w:rsidRPr="00DF265B">
        <w:t xml:space="preserve"> Faculties, which originally reviewed and allocated summer research stipends to faculty applicants. In 1974, the RAC was renamed the Arts Research Board (ARB); its membership increased from ten to thirteen and its mandate expanded to include the responsibility of allocating funds to support research programs and research-related conference travel in the Humanities, Social Sciences and Business. Among the events that precipitated the changes were the reorganization of McMaster's administrative structure, a budget increase in its Grants-in-aid program and Canada Council’s introduction of the General Research Grants Program and Program Grants in support of groups of researchers. The six ex officio members included the Vice-President (Academic), the Deans of the Faculties of Business, Humanities and Social Sciences, the Dean of Graduate Studies and the Director of Research Services. There were six members-at-large, two from each of the Faculties of Humanities, Social Sciences and Business (to be nominated by their respective Deans) and one chair, to be nominated by the Faculty Deans in rotation. </w:t>
      </w:r>
    </w:p>
    <w:p w14:paraId="18FBC0BB" w14:textId="77777777" w:rsidR="0027378D" w:rsidRPr="00DF265B" w:rsidRDefault="0027378D" w:rsidP="003D469D">
      <w:pPr>
        <w:spacing w:after="0" w:line="240" w:lineRule="auto"/>
      </w:pPr>
    </w:p>
    <w:p w14:paraId="0D1D77B0" w14:textId="77777777" w:rsidR="00847870" w:rsidRPr="00DF265B" w:rsidRDefault="00847870" w:rsidP="00233EEA">
      <w:pPr>
        <w:pStyle w:val="Heading1"/>
        <w:rPr>
          <w:rFonts w:asciiTheme="minorHAnsi" w:hAnsiTheme="minorHAnsi"/>
          <w:sz w:val="22"/>
          <w:szCs w:val="22"/>
        </w:rPr>
      </w:pPr>
      <w:r w:rsidRPr="00DF265B">
        <w:rPr>
          <w:rFonts w:asciiTheme="minorHAnsi" w:hAnsiTheme="minorHAnsi"/>
          <w:sz w:val="22"/>
          <w:szCs w:val="22"/>
        </w:rPr>
        <w:t>ARB Mandate and Objectives</w:t>
      </w:r>
    </w:p>
    <w:p w14:paraId="3E8565CB" w14:textId="77777777" w:rsidR="0027378D" w:rsidRPr="00DF265B" w:rsidRDefault="0027378D" w:rsidP="003D469D">
      <w:pPr>
        <w:spacing w:after="0" w:line="240" w:lineRule="auto"/>
      </w:pPr>
    </w:p>
    <w:p w14:paraId="1E9EE1D5" w14:textId="77777777" w:rsidR="00847870" w:rsidRPr="00DF265B" w:rsidRDefault="00847870" w:rsidP="00F77239">
      <w:pPr>
        <w:spacing w:after="0" w:line="240" w:lineRule="auto"/>
        <w:jc w:val="both"/>
      </w:pPr>
      <w:r w:rsidRPr="00DF265B">
        <w:t>The key objective of the Arts Research Board is to cultivate a strong research base among the Faculties of Humanities, Social Sciences and Business. Specifically, ARB supports a) research programs of new faculty, b) new and/or collaborative, interdisciplinary and/or multidisciplinary research initiatives, c) ongoing research that has a budget less than the minimum required for SSHRC applications, d) research related conference travel and e) publication of peer-reviewed articles. It is expected that funding will lead to increased individual and group participation and success in external grant competitions. Seed funding is the Board's priority.</w:t>
      </w:r>
    </w:p>
    <w:p w14:paraId="504A6DFD" w14:textId="003B4A40" w:rsidR="00847870" w:rsidRPr="00DF265B" w:rsidRDefault="00847870" w:rsidP="00F77239">
      <w:pPr>
        <w:spacing w:after="0" w:line="240" w:lineRule="auto"/>
        <w:jc w:val="both"/>
      </w:pPr>
      <w:r w:rsidRPr="00DF265B">
        <w:t>Preferential treatment will be given to new faculty.</w:t>
      </w:r>
      <w:r w:rsidR="00C909C3" w:rsidRPr="00DF265B">
        <w:t xml:space="preserve"> Applicants to ARB who are not </w:t>
      </w:r>
      <w:r w:rsidRPr="00DF265B">
        <w:t>new faculty will be required to demonstrate exception</w:t>
      </w:r>
      <w:r w:rsidR="00C909C3" w:rsidRPr="00DF265B">
        <w:t>al circumstances indicating why t</w:t>
      </w:r>
      <w:r w:rsidRPr="00DF265B">
        <w:t>hey are unable to apply to SSHRC and/or why they require less than $</w:t>
      </w:r>
      <w:r w:rsidR="00345586">
        <w:t>10</w:t>
      </w:r>
      <w:r w:rsidRPr="00DF265B">
        <w:t xml:space="preserve">,000 in funding. </w:t>
      </w:r>
      <w:r w:rsidR="00AC1C2D" w:rsidRPr="00DF265B">
        <w:t xml:space="preserve"> Note:  ARB funding is not intended to support applicant’s degree completion.</w:t>
      </w:r>
    </w:p>
    <w:p w14:paraId="526A52EF" w14:textId="77777777" w:rsidR="008E2BBF" w:rsidRPr="00174DF2" w:rsidRDefault="008E2BBF" w:rsidP="003D469D">
      <w:pPr>
        <w:spacing w:after="0" w:line="240" w:lineRule="auto"/>
      </w:pPr>
    </w:p>
    <w:p w14:paraId="53FC745D" w14:textId="77777777" w:rsidR="00847870" w:rsidRPr="00DF265B" w:rsidRDefault="00847870" w:rsidP="00233EEA">
      <w:pPr>
        <w:pStyle w:val="Heading1"/>
        <w:rPr>
          <w:rFonts w:asciiTheme="minorHAnsi" w:hAnsiTheme="minorHAnsi"/>
          <w:sz w:val="22"/>
          <w:szCs w:val="22"/>
        </w:rPr>
      </w:pPr>
      <w:r w:rsidRPr="00DF265B">
        <w:rPr>
          <w:rFonts w:asciiTheme="minorHAnsi" w:hAnsiTheme="minorHAnsi"/>
          <w:sz w:val="22"/>
          <w:szCs w:val="22"/>
        </w:rPr>
        <w:t>ARB Policy Review</w:t>
      </w:r>
    </w:p>
    <w:p w14:paraId="1708EFF3" w14:textId="77777777" w:rsidR="008E2BBF" w:rsidRPr="00DF265B" w:rsidRDefault="008E2BBF" w:rsidP="003D469D">
      <w:pPr>
        <w:spacing w:after="0" w:line="240" w:lineRule="auto"/>
      </w:pPr>
    </w:p>
    <w:p w14:paraId="4CEA00CA" w14:textId="75B6A759" w:rsidR="00847870" w:rsidRPr="00DF265B" w:rsidRDefault="00847870" w:rsidP="003D469D">
      <w:pPr>
        <w:spacing w:after="0" w:line="240" w:lineRule="auto"/>
      </w:pPr>
      <w:r w:rsidRPr="00DF265B">
        <w:t xml:space="preserve">The ARB Policy will be reviewed </w:t>
      </w:r>
      <w:r w:rsidR="00C63741" w:rsidRPr="00DF265B">
        <w:t>every two years</w:t>
      </w:r>
      <w:r w:rsidR="00E97E3B" w:rsidRPr="00DF265B">
        <w:t xml:space="preserve"> (or as required)</w:t>
      </w:r>
      <w:r w:rsidR="00C63741" w:rsidRPr="00DF265B">
        <w:t xml:space="preserve"> at a meeting chaired by the Vice-President – </w:t>
      </w:r>
      <w:r w:rsidR="00C63741" w:rsidRPr="00AF0C6A">
        <w:t xml:space="preserve">Research </w:t>
      </w:r>
      <w:r w:rsidR="007039D5" w:rsidRPr="00AF0C6A">
        <w:t>(</w:t>
      </w:r>
      <w:r w:rsidR="00C63741" w:rsidRPr="00AF0C6A">
        <w:t xml:space="preserve">or </w:t>
      </w:r>
      <w:r w:rsidR="00AF0C6A" w:rsidRPr="00AF0C6A">
        <w:t xml:space="preserve">their </w:t>
      </w:r>
      <w:r w:rsidR="00C63741" w:rsidRPr="00AF0C6A">
        <w:t>delegate</w:t>
      </w:r>
      <w:r w:rsidR="007039D5" w:rsidRPr="00AF0C6A">
        <w:t>)</w:t>
      </w:r>
      <w:r w:rsidR="00C63741" w:rsidRPr="00AF0C6A">
        <w:t xml:space="preserve">. </w:t>
      </w:r>
      <w:r w:rsidR="00B761AA" w:rsidRPr="00AF0C6A">
        <w:t xml:space="preserve"> </w:t>
      </w:r>
      <w:r w:rsidRPr="00AF0C6A">
        <w:t>Changes</w:t>
      </w:r>
      <w:r w:rsidRPr="00DF265B">
        <w:t xml:space="preserve"> to the Policy require approval by the Board. </w:t>
      </w:r>
    </w:p>
    <w:p w14:paraId="482D121C" w14:textId="77777777" w:rsidR="008E2BBF" w:rsidRPr="00DF265B" w:rsidRDefault="008E2BBF" w:rsidP="003D469D">
      <w:pPr>
        <w:spacing w:after="0" w:line="240" w:lineRule="auto"/>
      </w:pPr>
    </w:p>
    <w:p w14:paraId="041C9604" w14:textId="77777777" w:rsidR="008E2BBF" w:rsidRPr="00DF265B" w:rsidRDefault="00847870" w:rsidP="00EA730D">
      <w:pPr>
        <w:pStyle w:val="Heading1"/>
        <w:rPr>
          <w:rFonts w:asciiTheme="minorHAnsi" w:hAnsiTheme="minorHAnsi"/>
          <w:sz w:val="22"/>
          <w:szCs w:val="22"/>
        </w:rPr>
      </w:pPr>
      <w:r w:rsidRPr="00DF265B">
        <w:rPr>
          <w:rFonts w:asciiTheme="minorHAnsi" w:hAnsiTheme="minorHAnsi"/>
          <w:sz w:val="22"/>
          <w:szCs w:val="22"/>
        </w:rPr>
        <w:t>ARB Membership and Quorum</w:t>
      </w:r>
    </w:p>
    <w:p w14:paraId="57B3C2C3" w14:textId="77777777" w:rsidR="00847870" w:rsidRPr="00DF265B" w:rsidRDefault="00847870" w:rsidP="003D469D">
      <w:pPr>
        <w:pStyle w:val="Heading2"/>
        <w:rPr>
          <w:rFonts w:asciiTheme="minorHAnsi" w:hAnsiTheme="minorHAnsi"/>
          <w:color w:val="auto"/>
          <w:sz w:val="22"/>
          <w:szCs w:val="22"/>
        </w:rPr>
      </w:pPr>
      <w:r w:rsidRPr="00DF265B">
        <w:rPr>
          <w:rFonts w:asciiTheme="minorHAnsi" w:hAnsiTheme="minorHAnsi"/>
          <w:color w:val="auto"/>
          <w:sz w:val="22"/>
          <w:szCs w:val="22"/>
        </w:rPr>
        <w:t xml:space="preserve"> </w:t>
      </w:r>
    </w:p>
    <w:p w14:paraId="26438C3B" w14:textId="7A280A9B" w:rsidR="00847870" w:rsidRPr="00AF0C6A" w:rsidRDefault="00847870" w:rsidP="003D469D">
      <w:pPr>
        <w:spacing w:after="0" w:line="240" w:lineRule="auto"/>
      </w:pPr>
      <w:r w:rsidRPr="00DF265B">
        <w:t>The Arts Research Board is comprised of seven members ex officio</w:t>
      </w:r>
      <w:r w:rsidR="00475F08" w:rsidRPr="00DF265B">
        <w:t xml:space="preserve"> (or their delegate</w:t>
      </w:r>
      <w:proofErr w:type="gramStart"/>
      <w:r w:rsidR="00475F08" w:rsidRPr="00DF265B">
        <w:t>)</w:t>
      </w:r>
      <w:proofErr w:type="gramEnd"/>
      <w:r w:rsidRPr="00DF265B">
        <w:t xml:space="preserve"> and </w:t>
      </w:r>
      <w:r w:rsidR="007039D5" w:rsidRPr="00DF265B">
        <w:t>three</w:t>
      </w:r>
      <w:r w:rsidRPr="00DF265B">
        <w:t xml:space="preserve"> members nominated by their respective Deans. These appointments are </w:t>
      </w:r>
      <w:r w:rsidR="007039D5" w:rsidRPr="00DF265B">
        <w:t xml:space="preserve">generally </w:t>
      </w:r>
      <w:r w:rsidRPr="00DF265B">
        <w:t>fo</w:t>
      </w:r>
      <w:r w:rsidR="00C909C3" w:rsidRPr="00DF265B">
        <w:t>r a three-year term</w:t>
      </w:r>
      <w:r w:rsidR="007039D5" w:rsidRPr="00DF265B">
        <w:t>, or a term as approved by the Dean</w:t>
      </w:r>
      <w:r w:rsidR="00AF0C6A">
        <w:t xml:space="preserve"> </w:t>
      </w:r>
      <w:r w:rsidR="00AF0C6A" w:rsidRPr="00D70B49">
        <w:t>(or their delegate)</w:t>
      </w:r>
      <w:r w:rsidR="00C909C3" w:rsidRPr="00D70B49">
        <w:t>.</w:t>
      </w:r>
      <w:r w:rsidR="00C909C3" w:rsidRPr="00AF0C6A">
        <w:t xml:space="preserve"> </w:t>
      </w:r>
    </w:p>
    <w:p w14:paraId="086781AA" w14:textId="77777777" w:rsidR="007A10E7" w:rsidRPr="00DF265B" w:rsidRDefault="007A10E7" w:rsidP="003D469D">
      <w:pPr>
        <w:spacing w:after="0" w:line="240" w:lineRule="auto"/>
      </w:pPr>
    </w:p>
    <w:p w14:paraId="05E5FC27" w14:textId="77777777" w:rsidR="00847870" w:rsidRPr="00DF265B" w:rsidRDefault="00847870" w:rsidP="003D469D">
      <w:pPr>
        <w:spacing w:after="0" w:line="240" w:lineRule="auto"/>
        <w:ind w:firstLine="426"/>
        <w:rPr>
          <w:b/>
        </w:rPr>
      </w:pPr>
      <w:r w:rsidRPr="00DF265B">
        <w:rPr>
          <w:b/>
        </w:rPr>
        <w:t>7 Ex Officio:</w:t>
      </w:r>
    </w:p>
    <w:p w14:paraId="630709C8" w14:textId="054DECCD" w:rsidR="00EE4E31" w:rsidRPr="00DF265B" w:rsidRDefault="00847870" w:rsidP="003D469D">
      <w:pPr>
        <w:spacing w:after="0" w:line="240" w:lineRule="auto"/>
        <w:ind w:left="426"/>
      </w:pPr>
      <w:r w:rsidRPr="00DF265B">
        <w:t xml:space="preserve">Vice-President, Research </w:t>
      </w:r>
      <w:r w:rsidR="00CF26AF" w:rsidRPr="00DF265B">
        <w:t xml:space="preserve"> </w:t>
      </w:r>
    </w:p>
    <w:p w14:paraId="200F1E8A" w14:textId="77777777" w:rsidR="00847870" w:rsidRPr="00DF265B" w:rsidRDefault="00847870" w:rsidP="003D469D">
      <w:pPr>
        <w:spacing w:after="0" w:line="240" w:lineRule="auto"/>
        <w:ind w:left="426"/>
      </w:pPr>
      <w:r w:rsidRPr="00DF265B">
        <w:t>Dean of Graduate Studies</w:t>
      </w:r>
    </w:p>
    <w:p w14:paraId="7F1368A6" w14:textId="77777777" w:rsidR="00847870" w:rsidRPr="00DF265B" w:rsidRDefault="00847870" w:rsidP="003D469D">
      <w:pPr>
        <w:spacing w:after="0" w:line="240" w:lineRule="auto"/>
        <w:ind w:left="426"/>
      </w:pPr>
      <w:r w:rsidRPr="00DF265B">
        <w:t>Dean of Business</w:t>
      </w:r>
    </w:p>
    <w:p w14:paraId="26A2A450" w14:textId="77777777" w:rsidR="00847870" w:rsidRPr="00DF265B" w:rsidRDefault="00847870" w:rsidP="003D469D">
      <w:pPr>
        <w:spacing w:after="0" w:line="240" w:lineRule="auto"/>
        <w:ind w:left="426"/>
      </w:pPr>
      <w:r w:rsidRPr="00DF265B">
        <w:t>Dean of Humanities</w:t>
      </w:r>
    </w:p>
    <w:p w14:paraId="48865C37" w14:textId="77777777" w:rsidR="00847870" w:rsidRPr="00DF265B" w:rsidRDefault="00847870" w:rsidP="003D469D">
      <w:pPr>
        <w:spacing w:after="0" w:line="240" w:lineRule="auto"/>
        <w:ind w:left="426"/>
      </w:pPr>
      <w:r w:rsidRPr="00DF265B">
        <w:lastRenderedPageBreak/>
        <w:t>Dean of Social Sciences</w:t>
      </w:r>
    </w:p>
    <w:p w14:paraId="658C8AF0" w14:textId="77777777" w:rsidR="00847870" w:rsidRPr="00DF265B" w:rsidRDefault="00847870" w:rsidP="003D469D">
      <w:pPr>
        <w:spacing w:after="0" w:line="240" w:lineRule="auto"/>
        <w:ind w:left="426"/>
      </w:pPr>
      <w:r w:rsidRPr="00DF265B">
        <w:t xml:space="preserve">Dean of Science </w:t>
      </w:r>
    </w:p>
    <w:p w14:paraId="5BBAF4AC" w14:textId="799EDFA2" w:rsidR="00847870" w:rsidRDefault="00847870" w:rsidP="003D469D">
      <w:pPr>
        <w:spacing w:after="0" w:line="240" w:lineRule="auto"/>
        <w:ind w:left="426"/>
      </w:pPr>
      <w:r w:rsidRPr="00DF265B">
        <w:t xml:space="preserve">Director, </w:t>
      </w:r>
      <w:r w:rsidR="008E5D84" w:rsidRPr="00DF265B">
        <w:t xml:space="preserve">Research </w:t>
      </w:r>
      <w:r w:rsidRPr="00DF265B">
        <w:t xml:space="preserve">Office </w:t>
      </w:r>
      <w:r w:rsidR="008E5D84" w:rsidRPr="00DF265B">
        <w:t xml:space="preserve">for Administration Development and Support </w:t>
      </w:r>
      <w:r w:rsidRPr="00DF265B">
        <w:t>(Board Secretary)</w:t>
      </w:r>
    </w:p>
    <w:p w14:paraId="5EF6470E" w14:textId="77777777" w:rsidR="00F46A9E" w:rsidRPr="00DF265B" w:rsidRDefault="00F46A9E" w:rsidP="003D469D">
      <w:pPr>
        <w:spacing w:after="0" w:line="240" w:lineRule="auto"/>
        <w:ind w:left="426"/>
      </w:pPr>
    </w:p>
    <w:p w14:paraId="504FA1F7" w14:textId="77777777" w:rsidR="00847870" w:rsidRPr="00DF265B" w:rsidRDefault="00314606" w:rsidP="003D469D">
      <w:pPr>
        <w:spacing w:after="0" w:line="240" w:lineRule="auto"/>
        <w:ind w:left="426"/>
        <w:rPr>
          <w:b/>
        </w:rPr>
      </w:pPr>
      <w:r w:rsidRPr="00DF265B">
        <w:rPr>
          <w:b/>
        </w:rPr>
        <w:t>3</w:t>
      </w:r>
      <w:r w:rsidR="00847870" w:rsidRPr="00DF265B">
        <w:rPr>
          <w:b/>
        </w:rPr>
        <w:t xml:space="preserve"> Nominated: </w:t>
      </w:r>
    </w:p>
    <w:p w14:paraId="1A055733" w14:textId="77777777" w:rsidR="00847870" w:rsidRPr="00DF265B" w:rsidRDefault="00847870" w:rsidP="003D469D">
      <w:pPr>
        <w:spacing w:after="0" w:line="240" w:lineRule="auto"/>
        <w:ind w:left="426"/>
      </w:pPr>
      <w:r w:rsidRPr="00DF265B">
        <w:t>1 Business</w:t>
      </w:r>
    </w:p>
    <w:p w14:paraId="59EF0A88" w14:textId="77777777" w:rsidR="00847870" w:rsidRPr="00DF265B" w:rsidRDefault="00847870" w:rsidP="003D469D">
      <w:pPr>
        <w:spacing w:after="0" w:line="240" w:lineRule="auto"/>
        <w:ind w:left="426"/>
      </w:pPr>
      <w:r w:rsidRPr="00DF265B">
        <w:t>1 Humanities</w:t>
      </w:r>
    </w:p>
    <w:p w14:paraId="4273D66D" w14:textId="77777777" w:rsidR="00847870" w:rsidRPr="00DF265B" w:rsidRDefault="00847870" w:rsidP="003D469D">
      <w:pPr>
        <w:spacing w:after="0" w:line="240" w:lineRule="auto"/>
        <w:ind w:left="426"/>
      </w:pPr>
      <w:r w:rsidRPr="00DF265B">
        <w:t>1 Social Sciences</w:t>
      </w:r>
    </w:p>
    <w:p w14:paraId="70F5F753" w14:textId="77777777" w:rsidR="008E2BBF" w:rsidRPr="00DF265B" w:rsidRDefault="008E2BBF" w:rsidP="003D469D">
      <w:pPr>
        <w:spacing w:after="0" w:line="240" w:lineRule="auto"/>
      </w:pPr>
    </w:p>
    <w:p w14:paraId="271E224A" w14:textId="77777777" w:rsidR="00847870" w:rsidRPr="00DF265B" w:rsidRDefault="00847870" w:rsidP="003D469D">
      <w:pPr>
        <w:spacing w:after="0" w:line="240" w:lineRule="auto"/>
      </w:pPr>
      <w:proofErr w:type="gramStart"/>
      <w:r w:rsidRPr="00DF265B">
        <w:t>Quorum</w:t>
      </w:r>
      <w:proofErr w:type="gramEnd"/>
      <w:r w:rsidRPr="00DF265B">
        <w:t xml:space="preserve"> for the ARB Board is five members. </w:t>
      </w:r>
      <w:proofErr w:type="gramStart"/>
      <w:r w:rsidRPr="00DF265B">
        <w:t>Abstentions are</w:t>
      </w:r>
      <w:proofErr w:type="gramEnd"/>
      <w:r w:rsidRPr="00DF265B">
        <w:t xml:space="preserve"> permitted only when a conflict of interest exists.</w:t>
      </w:r>
    </w:p>
    <w:p w14:paraId="4A164387" w14:textId="77777777" w:rsidR="00783BAD" w:rsidRPr="00DF265B" w:rsidRDefault="00783BAD" w:rsidP="003D469D">
      <w:pPr>
        <w:spacing w:after="0" w:line="240" w:lineRule="auto"/>
      </w:pPr>
    </w:p>
    <w:p w14:paraId="5329794B" w14:textId="77777777" w:rsidR="00847870" w:rsidRPr="00DF265B" w:rsidRDefault="00847870" w:rsidP="00233EEA">
      <w:pPr>
        <w:pStyle w:val="Heading1"/>
        <w:rPr>
          <w:rFonts w:asciiTheme="minorHAnsi" w:hAnsiTheme="minorHAnsi"/>
          <w:sz w:val="22"/>
          <w:szCs w:val="22"/>
        </w:rPr>
      </w:pPr>
      <w:r w:rsidRPr="00DF265B">
        <w:rPr>
          <w:rFonts w:asciiTheme="minorHAnsi" w:hAnsiTheme="minorHAnsi"/>
          <w:sz w:val="22"/>
          <w:szCs w:val="22"/>
        </w:rPr>
        <w:t>Budget Sources</w:t>
      </w:r>
    </w:p>
    <w:p w14:paraId="791F179F" w14:textId="77777777" w:rsidR="008E2BBF" w:rsidRPr="00DF265B" w:rsidRDefault="008E2BBF" w:rsidP="003D469D">
      <w:pPr>
        <w:spacing w:after="0" w:line="240" w:lineRule="auto"/>
      </w:pPr>
    </w:p>
    <w:p w14:paraId="38DA25C0" w14:textId="77777777" w:rsidR="00847870" w:rsidRPr="00DF265B" w:rsidRDefault="00847870" w:rsidP="003D469D">
      <w:pPr>
        <w:spacing w:after="0" w:line="240" w:lineRule="auto"/>
      </w:pPr>
      <w:r w:rsidRPr="00DF265B">
        <w:t>A SSHRC Institutional Grant (SIG) is the primary sourc</w:t>
      </w:r>
      <w:r w:rsidR="00C909C3" w:rsidRPr="00DF265B">
        <w:t xml:space="preserve">e of income for the ARB awards. </w:t>
      </w:r>
      <w:r w:rsidRPr="00DF265B">
        <w:t>Other sources may include the SSHRC General Resea</w:t>
      </w:r>
      <w:r w:rsidR="00C909C3" w:rsidRPr="00DF265B">
        <w:t xml:space="preserve">rch Fund (GRF) and a </w:t>
      </w:r>
      <w:proofErr w:type="gramStart"/>
      <w:r w:rsidR="00C909C3" w:rsidRPr="00DF265B">
        <w:t>University</w:t>
      </w:r>
      <w:proofErr w:type="gramEnd"/>
      <w:r w:rsidR="00C909C3" w:rsidRPr="00DF265B">
        <w:t xml:space="preserve"> </w:t>
      </w:r>
      <w:r w:rsidRPr="00DF265B">
        <w:t xml:space="preserve">contribution to supplement the SIG. </w:t>
      </w:r>
    </w:p>
    <w:p w14:paraId="23E6FB50" w14:textId="77777777" w:rsidR="00783BAD" w:rsidRPr="00DF265B" w:rsidRDefault="00783BAD" w:rsidP="003D469D">
      <w:pPr>
        <w:pStyle w:val="Heading2"/>
        <w:rPr>
          <w:rFonts w:asciiTheme="minorHAnsi" w:hAnsiTheme="minorHAnsi"/>
          <w:color w:val="auto"/>
          <w:sz w:val="22"/>
          <w:szCs w:val="22"/>
        </w:rPr>
      </w:pPr>
    </w:p>
    <w:p w14:paraId="6F43E741" w14:textId="77777777" w:rsidR="00847870" w:rsidRPr="00DF265B" w:rsidRDefault="00847870" w:rsidP="00EA730D">
      <w:pPr>
        <w:pStyle w:val="Heading2"/>
        <w:rPr>
          <w:rFonts w:asciiTheme="minorHAnsi" w:hAnsiTheme="minorHAnsi"/>
          <w:color w:val="auto"/>
          <w:sz w:val="22"/>
          <w:szCs w:val="22"/>
        </w:rPr>
      </w:pPr>
      <w:r w:rsidRPr="00DF265B">
        <w:rPr>
          <w:rFonts w:asciiTheme="minorHAnsi" w:hAnsiTheme="minorHAnsi"/>
          <w:color w:val="auto"/>
          <w:sz w:val="22"/>
          <w:szCs w:val="22"/>
        </w:rPr>
        <w:t>SSHRC Institution</w:t>
      </w:r>
      <w:r w:rsidR="001947C3" w:rsidRPr="00DF265B">
        <w:rPr>
          <w:rFonts w:asciiTheme="minorHAnsi" w:hAnsiTheme="minorHAnsi"/>
          <w:color w:val="auto"/>
          <w:sz w:val="22"/>
          <w:szCs w:val="22"/>
        </w:rPr>
        <w:t>al Grant (SIG)</w:t>
      </w:r>
      <w:r w:rsidR="005E26AE" w:rsidRPr="00DF265B">
        <w:rPr>
          <w:rFonts w:asciiTheme="minorHAnsi" w:hAnsiTheme="minorHAnsi"/>
          <w:color w:val="auto"/>
          <w:sz w:val="22"/>
          <w:szCs w:val="22"/>
        </w:rPr>
        <w:t xml:space="preserve"> </w:t>
      </w:r>
    </w:p>
    <w:p w14:paraId="1B0B957D" w14:textId="05555C1D" w:rsidR="00847870" w:rsidRPr="00DF265B" w:rsidRDefault="00847870" w:rsidP="00EA730D">
      <w:pPr>
        <w:pStyle w:val="ListParagraph"/>
        <w:numPr>
          <w:ilvl w:val="0"/>
          <w:numId w:val="37"/>
        </w:numPr>
        <w:spacing w:after="0" w:line="240" w:lineRule="auto"/>
        <w:ind w:left="709" w:hanging="425"/>
      </w:pPr>
      <w:r w:rsidRPr="00DF265B">
        <w:t xml:space="preserve">The grant is based on SIG Eligible Full-time Teaching Staff and performance in </w:t>
      </w:r>
      <w:r w:rsidR="006179D2" w:rsidRPr="00DF265B">
        <w:t>a</w:t>
      </w:r>
      <w:r w:rsidRPr="00DF265B">
        <w:t>ll SSHRC research support programs (not just standard and strategic) in the preceding three years. Calculations ($) will be adjusted annually, although awards are granted for three</w:t>
      </w:r>
      <w:r w:rsidR="00F46A9E">
        <w:t>-</w:t>
      </w:r>
      <w:r w:rsidRPr="00DF265B">
        <w:t>year periods.</w:t>
      </w:r>
    </w:p>
    <w:p w14:paraId="26728D0A" w14:textId="77777777" w:rsidR="00C909C3" w:rsidRPr="00DF265B" w:rsidRDefault="00847870" w:rsidP="00EA730D">
      <w:pPr>
        <w:pStyle w:val="ListParagraph"/>
        <w:numPr>
          <w:ilvl w:val="0"/>
          <w:numId w:val="37"/>
        </w:numPr>
        <w:spacing w:after="0" w:line="240" w:lineRule="auto"/>
        <w:ind w:left="709" w:hanging="425"/>
      </w:pPr>
      <w:r w:rsidRPr="00DF265B">
        <w:t>Formula:</w:t>
      </w:r>
    </w:p>
    <w:p w14:paraId="13998E0E" w14:textId="4EE62CC7" w:rsidR="00C909C3" w:rsidRPr="00DF265B" w:rsidRDefault="00847870" w:rsidP="003D469D">
      <w:pPr>
        <w:pStyle w:val="ListParagraph"/>
        <w:numPr>
          <w:ilvl w:val="1"/>
          <w:numId w:val="2"/>
        </w:numPr>
        <w:spacing w:after="0" w:line="240" w:lineRule="auto"/>
        <w:ind w:left="1260" w:hanging="409"/>
      </w:pPr>
      <w:r w:rsidRPr="00DF265B">
        <w:t>Head Count: $50/faculty, whose discipline falls within SSHRC mandate, including full-time teaching staff:</w:t>
      </w:r>
    </w:p>
    <w:p w14:paraId="04EB6543" w14:textId="1BAB0474" w:rsidR="00C909C3" w:rsidRPr="00DF265B" w:rsidRDefault="00847870" w:rsidP="000131EF">
      <w:pPr>
        <w:pStyle w:val="ListParagraph"/>
        <w:numPr>
          <w:ilvl w:val="2"/>
          <w:numId w:val="2"/>
        </w:numPr>
        <w:spacing w:after="0" w:line="240" w:lineRule="auto"/>
        <w:ind w:left="1843" w:hanging="425"/>
      </w:pPr>
      <w:r w:rsidRPr="00DF265B">
        <w:t>All academic staff who are teachers and/or senior academic staff (e.g.</w:t>
      </w:r>
      <w:r w:rsidR="007171E1" w:rsidRPr="00DF265B">
        <w:t>,</w:t>
      </w:r>
      <w:r w:rsidRPr="00DF265B">
        <w:t xml:space="preserve"> Chairs, Deans and Direc</w:t>
      </w:r>
      <w:r w:rsidR="000247EF" w:rsidRPr="00DF265B">
        <w:t>tors)</w:t>
      </w:r>
    </w:p>
    <w:p w14:paraId="55987B54" w14:textId="77777777" w:rsidR="00C909C3" w:rsidRPr="00DF265B" w:rsidRDefault="00847870" w:rsidP="000131EF">
      <w:pPr>
        <w:pStyle w:val="ListParagraph"/>
        <w:numPr>
          <w:ilvl w:val="2"/>
          <w:numId w:val="2"/>
        </w:numPr>
        <w:spacing w:after="0" w:line="240" w:lineRule="auto"/>
        <w:ind w:left="1843" w:hanging="425"/>
      </w:pPr>
      <w:r w:rsidRPr="00DF265B">
        <w:t>Full-time research staff who have an academic rank and a salary scale</w:t>
      </w:r>
      <w:r w:rsidR="00C909C3" w:rsidRPr="00DF265B">
        <w:t xml:space="preserve"> </w:t>
      </w:r>
      <w:proofErr w:type="gramStart"/>
      <w:r w:rsidR="00C909C3" w:rsidRPr="00DF265B">
        <w:t>similar to</w:t>
      </w:r>
      <w:proofErr w:type="gramEnd"/>
      <w:r w:rsidR="00C909C3" w:rsidRPr="00DF265B">
        <w:t xml:space="preserve"> teaching staff; and</w:t>
      </w:r>
    </w:p>
    <w:p w14:paraId="55C02400" w14:textId="77777777" w:rsidR="00C909C3" w:rsidRPr="00DF265B" w:rsidRDefault="00C909C3" w:rsidP="000131EF">
      <w:pPr>
        <w:pStyle w:val="ListParagraph"/>
        <w:numPr>
          <w:ilvl w:val="2"/>
          <w:numId w:val="2"/>
        </w:numPr>
        <w:spacing w:after="0" w:line="240" w:lineRule="auto"/>
        <w:ind w:left="1843" w:hanging="425"/>
      </w:pPr>
      <w:r w:rsidRPr="00DF265B">
        <w:t>S</w:t>
      </w:r>
      <w:r w:rsidR="00847870" w:rsidRPr="00DF265B">
        <w:t xml:space="preserve">taff appointed for a minimum of 12 months who </w:t>
      </w:r>
      <w:proofErr w:type="gramStart"/>
      <w:r w:rsidR="00847870" w:rsidRPr="00DF265B">
        <w:t>are teaching</w:t>
      </w:r>
      <w:proofErr w:type="gramEnd"/>
      <w:r w:rsidR="00847870" w:rsidRPr="00DF265B">
        <w:t xml:space="preserve"> a full load.</w:t>
      </w:r>
    </w:p>
    <w:p w14:paraId="4731EFB6" w14:textId="77777777" w:rsidR="001947C3" w:rsidRPr="00DF265B" w:rsidRDefault="00847870" w:rsidP="003D469D">
      <w:pPr>
        <w:pStyle w:val="ListParagraph"/>
        <w:numPr>
          <w:ilvl w:val="1"/>
          <w:numId w:val="2"/>
        </w:numPr>
        <w:spacing w:after="0" w:line="240" w:lineRule="auto"/>
        <w:ind w:left="1260" w:hanging="409"/>
      </w:pPr>
      <w:r w:rsidRPr="00DF265B">
        <w:t>Performance:  based on the university's average performance in all SSHRC research support programs in the previous three years of competitions</w:t>
      </w:r>
      <w:r w:rsidRPr="00DF265B">
        <w:rPr>
          <w:b/>
          <w:color w:val="6C1D45"/>
        </w:rPr>
        <w:t>*</w:t>
      </w:r>
      <w:r w:rsidRPr="00DF265B">
        <w:t xml:space="preserve">, and calculated at the rate of: </w:t>
      </w:r>
    </w:p>
    <w:p w14:paraId="61C5FF8B" w14:textId="77777777" w:rsidR="001947C3" w:rsidRPr="00DF265B" w:rsidRDefault="00847870" w:rsidP="000131EF">
      <w:pPr>
        <w:pStyle w:val="ListParagraph"/>
        <w:numPr>
          <w:ilvl w:val="2"/>
          <w:numId w:val="2"/>
        </w:numPr>
        <w:spacing w:after="0" w:line="240" w:lineRule="auto"/>
        <w:ind w:left="1843" w:hanging="425"/>
      </w:pPr>
      <w:r w:rsidRPr="00DF265B">
        <w:t xml:space="preserve">23% of first $100,000 awarded; </w:t>
      </w:r>
    </w:p>
    <w:p w14:paraId="03E95CF4" w14:textId="77777777" w:rsidR="001947C3" w:rsidRPr="00DF265B" w:rsidRDefault="00847870" w:rsidP="000131EF">
      <w:pPr>
        <w:pStyle w:val="ListParagraph"/>
        <w:numPr>
          <w:ilvl w:val="2"/>
          <w:numId w:val="2"/>
        </w:numPr>
        <w:spacing w:after="0" w:line="240" w:lineRule="auto"/>
        <w:ind w:left="1843" w:hanging="425"/>
      </w:pPr>
      <w:r w:rsidRPr="00DF265B">
        <w:t xml:space="preserve">20% of next $400,000 awarded; and </w:t>
      </w:r>
    </w:p>
    <w:p w14:paraId="2A9FADDF" w14:textId="77777777" w:rsidR="00847870" w:rsidRPr="00DF265B" w:rsidRDefault="00847870" w:rsidP="000131EF">
      <w:pPr>
        <w:pStyle w:val="ListParagraph"/>
        <w:numPr>
          <w:ilvl w:val="2"/>
          <w:numId w:val="2"/>
        </w:numPr>
        <w:spacing w:after="0" w:line="240" w:lineRule="auto"/>
        <w:ind w:left="1843" w:hanging="425"/>
      </w:pPr>
      <w:r w:rsidRPr="00DF265B">
        <w:t>14% of the remainder.</w:t>
      </w:r>
    </w:p>
    <w:p w14:paraId="4ADE0473" w14:textId="77777777" w:rsidR="00357435" w:rsidRPr="00DF265B" w:rsidRDefault="00357435" w:rsidP="00357435">
      <w:pPr>
        <w:pStyle w:val="ListParagraph"/>
        <w:spacing w:after="0" w:line="240" w:lineRule="auto"/>
        <w:ind w:left="1080"/>
      </w:pPr>
      <w:r w:rsidRPr="00DF265B">
        <w:rPr>
          <w:b/>
          <w:color w:val="6C1D45"/>
        </w:rPr>
        <w:t>*</w:t>
      </w:r>
      <w:r w:rsidRPr="00DF265B">
        <w:t xml:space="preserve">The method of calculation also includes multi-institutional grants </w:t>
      </w:r>
      <w:proofErr w:type="gramStart"/>
      <w:r w:rsidRPr="00DF265B">
        <w:t>in order to</w:t>
      </w:r>
      <w:proofErr w:type="gramEnd"/>
      <w:r w:rsidRPr="00DF265B">
        <w:t xml:space="preserve"> distribute credit for performance to all co-applicants.</w:t>
      </w:r>
    </w:p>
    <w:p w14:paraId="425D91B5" w14:textId="77777777" w:rsidR="004B42E6" w:rsidRPr="00DF265B" w:rsidRDefault="004B42E6" w:rsidP="004B42E6">
      <w:pPr>
        <w:pStyle w:val="ListParagraph"/>
        <w:spacing w:after="0" w:line="240" w:lineRule="auto"/>
        <w:ind w:left="1980"/>
      </w:pPr>
    </w:p>
    <w:p w14:paraId="1AABB61B" w14:textId="77777777" w:rsidR="00F41BDB" w:rsidRPr="00DF265B" w:rsidRDefault="00F41BDB" w:rsidP="00B12E39">
      <w:pPr>
        <w:pStyle w:val="Heading2"/>
        <w:rPr>
          <w:rFonts w:asciiTheme="minorHAnsi" w:hAnsiTheme="minorHAnsi"/>
          <w:color w:val="auto"/>
          <w:sz w:val="22"/>
          <w:szCs w:val="22"/>
        </w:rPr>
      </w:pPr>
      <w:r w:rsidRPr="00DF265B">
        <w:rPr>
          <w:rFonts w:asciiTheme="minorHAnsi" w:hAnsiTheme="minorHAnsi"/>
          <w:color w:val="4C0000"/>
          <w:sz w:val="22"/>
          <w:szCs w:val="22"/>
        </w:rPr>
        <w:t xml:space="preserve">  </w:t>
      </w:r>
      <w:r w:rsidR="00847870" w:rsidRPr="00DF265B">
        <w:rPr>
          <w:rFonts w:asciiTheme="minorHAnsi" w:hAnsiTheme="minorHAnsi"/>
          <w:color w:val="auto"/>
          <w:sz w:val="22"/>
          <w:szCs w:val="22"/>
        </w:rPr>
        <w:t>SS</w:t>
      </w:r>
      <w:r w:rsidR="001947C3" w:rsidRPr="00DF265B">
        <w:rPr>
          <w:rFonts w:asciiTheme="minorHAnsi" w:hAnsiTheme="minorHAnsi"/>
          <w:color w:val="auto"/>
          <w:sz w:val="22"/>
          <w:szCs w:val="22"/>
        </w:rPr>
        <w:t>HRC General Research Fund (GRF)</w:t>
      </w:r>
    </w:p>
    <w:p w14:paraId="4875EC1F" w14:textId="77777777" w:rsidR="00847870" w:rsidRPr="00DF265B" w:rsidRDefault="00847870" w:rsidP="00F41BDB">
      <w:pPr>
        <w:pStyle w:val="Heading2"/>
        <w:numPr>
          <w:ilvl w:val="0"/>
          <w:numId w:val="42"/>
        </w:numPr>
        <w:rPr>
          <w:rFonts w:asciiTheme="minorHAnsi" w:hAnsiTheme="minorHAnsi"/>
          <w:b w:val="0"/>
          <w:color w:val="auto"/>
          <w:sz w:val="22"/>
          <w:szCs w:val="22"/>
        </w:rPr>
      </w:pPr>
      <w:r w:rsidRPr="00DF265B">
        <w:rPr>
          <w:rFonts w:asciiTheme="minorHAnsi" w:hAnsiTheme="minorHAnsi"/>
          <w:b w:val="0"/>
          <w:color w:val="auto"/>
          <w:sz w:val="22"/>
          <w:szCs w:val="22"/>
        </w:rPr>
        <w:t xml:space="preserve">Funds remaining in SSHRC grants after the 12-month automatic period of grace provided by SSHRC at the end of a grant period are reclassified by SSHRC as a GRF and transferred to the University. Any funds remaining after this period are allocated automatically by the University to the ARB for distribution through </w:t>
      </w:r>
      <w:proofErr w:type="gramStart"/>
      <w:r w:rsidRPr="00DF265B">
        <w:rPr>
          <w:rFonts w:asciiTheme="minorHAnsi" w:hAnsiTheme="minorHAnsi"/>
          <w:b w:val="0"/>
          <w:color w:val="auto"/>
          <w:sz w:val="22"/>
          <w:szCs w:val="22"/>
        </w:rPr>
        <w:t>the research</w:t>
      </w:r>
      <w:proofErr w:type="gramEnd"/>
      <w:r w:rsidRPr="00DF265B">
        <w:rPr>
          <w:rFonts w:asciiTheme="minorHAnsi" w:hAnsiTheme="minorHAnsi"/>
          <w:b w:val="0"/>
          <w:color w:val="auto"/>
          <w:sz w:val="22"/>
          <w:szCs w:val="22"/>
        </w:rPr>
        <w:t xml:space="preserve"> and conference competitions.  </w:t>
      </w:r>
    </w:p>
    <w:p w14:paraId="6EF03195" w14:textId="77777777" w:rsidR="004B42E6" w:rsidRPr="00DF265B" w:rsidRDefault="004B42E6" w:rsidP="004B42E6">
      <w:pPr>
        <w:pStyle w:val="ListParagraph"/>
        <w:spacing w:after="0" w:line="240" w:lineRule="auto"/>
        <w:ind w:left="851"/>
      </w:pPr>
    </w:p>
    <w:p w14:paraId="0FAB168B" w14:textId="77777777" w:rsidR="00847870" w:rsidRPr="00DF265B" w:rsidRDefault="00F41BDB" w:rsidP="00B12E39">
      <w:pPr>
        <w:pStyle w:val="Heading2"/>
        <w:rPr>
          <w:rFonts w:asciiTheme="minorHAnsi" w:hAnsiTheme="minorHAnsi"/>
          <w:color w:val="4C0000"/>
          <w:sz w:val="22"/>
          <w:szCs w:val="22"/>
        </w:rPr>
      </w:pPr>
      <w:r w:rsidRPr="00DF265B">
        <w:rPr>
          <w:rFonts w:asciiTheme="minorHAnsi" w:hAnsiTheme="minorHAnsi"/>
          <w:color w:val="4C0000"/>
          <w:sz w:val="22"/>
          <w:szCs w:val="22"/>
        </w:rPr>
        <w:t xml:space="preserve"> </w:t>
      </w:r>
      <w:r w:rsidRPr="00DF265B">
        <w:rPr>
          <w:rFonts w:asciiTheme="minorHAnsi" w:hAnsiTheme="minorHAnsi"/>
          <w:color w:val="auto"/>
          <w:sz w:val="22"/>
          <w:szCs w:val="22"/>
        </w:rPr>
        <w:t xml:space="preserve"> </w:t>
      </w:r>
      <w:r w:rsidR="001947C3" w:rsidRPr="00DF265B">
        <w:rPr>
          <w:rFonts w:asciiTheme="minorHAnsi" w:hAnsiTheme="minorHAnsi"/>
          <w:color w:val="auto"/>
          <w:sz w:val="22"/>
          <w:szCs w:val="22"/>
        </w:rPr>
        <w:t>University Contribution</w:t>
      </w:r>
    </w:p>
    <w:p w14:paraId="318C9E40" w14:textId="77777777" w:rsidR="001947C3" w:rsidRPr="00DF265B" w:rsidRDefault="00F41BDB" w:rsidP="00EA730D">
      <w:pPr>
        <w:pStyle w:val="ListParagraph"/>
        <w:numPr>
          <w:ilvl w:val="0"/>
          <w:numId w:val="37"/>
        </w:numPr>
        <w:spacing w:after="0" w:line="240" w:lineRule="auto"/>
        <w:ind w:left="709" w:hanging="425"/>
      </w:pPr>
      <w:r w:rsidRPr="00DF265B">
        <w:t xml:space="preserve"> </w:t>
      </w:r>
      <w:r w:rsidR="00847870" w:rsidRPr="00DF265B">
        <w:t xml:space="preserve">As of fiscal </w:t>
      </w:r>
      <w:proofErr w:type="gramStart"/>
      <w:r w:rsidR="00847870" w:rsidRPr="00DF265B">
        <w:t>year 2003/2004</w:t>
      </w:r>
      <w:proofErr w:type="gramEnd"/>
      <w:r w:rsidR="00847870" w:rsidRPr="00DF265B">
        <w:t xml:space="preserve"> the McMaster contribution is $70,000. </w:t>
      </w:r>
    </w:p>
    <w:p w14:paraId="7A9FC939" w14:textId="77777777" w:rsidR="00847870" w:rsidRPr="00174DF2" w:rsidRDefault="00F41BDB" w:rsidP="00EA730D">
      <w:pPr>
        <w:pStyle w:val="ListParagraph"/>
        <w:numPr>
          <w:ilvl w:val="0"/>
          <w:numId w:val="37"/>
        </w:numPr>
        <w:spacing w:after="0" w:line="240" w:lineRule="auto"/>
        <w:ind w:left="709" w:hanging="425"/>
      </w:pPr>
      <w:r w:rsidRPr="00DF265B">
        <w:t xml:space="preserve"> </w:t>
      </w:r>
      <w:r w:rsidR="00847870" w:rsidRPr="00DF265B">
        <w:t xml:space="preserve">The University contribution is to be reviewed annually </w:t>
      </w:r>
      <w:r w:rsidR="00783BAD" w:rsidRPr="00DF265B">
        <w:t>by the Vice President, Research</w:t>
      </w:r>
      <w:r w:rsidR="00783BAD" w:rsidRPr="00174DF2">
        <w:t>.</w:t>
      </w:r>
      <w:r w:rsidR="00C96123" w:rsidRPr="00174DF2">
        <w:t xml:space="preserve"> </w:t>
      </w:r>
    </w:p>
    <w:p w14:paraId="5EF796F3" w14:textId="77777777" w:rsidR="00F3016C" w:rsidRPr="00174DF2" w:rsidRDefault="00F3016C" w:rsidP="00D73F67">
      <w:pPr>
        <w:spacing w:after="0" w:line="240" w:lineRule="auto"/>
      </w:pPr>
    </w:p>
    <w:p w14:paraId="5B66E33C" w14:textId="77777777" w:rsidR="00F3016C" w:rsidRPr="00DF265B" w:rsidRDefault="00F3016C" w:rsidP="00F3016C">
      <w:pPr>
        <w:pStyle w:val="Heading1"/>
        <w:rPr>
          <w:rFonts w:asciiTheme="minorHAnsi" w:hAnsiTheme="minorHAnsi"/>
          <w:sz w:val="22"/>
          <w:szCs w:val="22"/>
        </w:rPr>
      </w:pPr>
      <w:r w:rsidRPr="00DF265B">
        <w:rPr>
          <w:rFonts w:asciiTheme="minorHAnsi" w:hAnsiTheme="minorHAnsi"/>
          <w:sz w:val="22"/>
          <w:szCs w:val="22"/>
        </w:rPr>
        <w:t>Eligibility Criteria</w:t>
      </w:r>
    </w:p>
    <w:p w14:paraId="15285169" w14:textId="77777777" w:rsidR="00F3016C" w:rsidRPr="00DF265B" w:rsidRDefault="00F3016C" w:rsidP="00F3016C">
      <w:pPr>
        <w:spacing w:after="0" w:line="240" w:lineRule="auto"/>
      </w:pPr>
    </w:p>
    <w:p w14:paraId="46C7F01A" w14:textId="77777777" w:rsidR="00F3016C" w:rsidRPr="00DF265B" w:rsidRDefault="00F3016C" w:rsidP="00F3016C">
      <w:pPr>
        <w:spacing w:after="0" w:line="240" w:lineRule="auto"/>
      </w:pPr>
      <w:r w:rsidRPr="00DF265B">
        <w:t xml:space="preserve">To be eligible for ARB funding an applicant must be affiliated with McMaster University and must be eligible for SSHRC funding under the SSHRC Institutional Grant (SIG) Program. </w:t>
      </w:r>
    </w:p>
    <w:p w14:paraId="7F52EFCE" w14:textId="77777777" w:rsidR="00F3016C" w:rsidRPr="00DF265B" w:rsidRDefault="00F3016C" w:rsidP="00F3016C">
      <w:pPr>
        <w:spacing w:after="0" w:line="240" w:lineRule="auto"/>
      </w:pPr>
    </w:p>
    <w:p w14:paraId="00FF3781" w14:textId="77777777" w:rsidR="00F3016C" w:rsidRPr="00DF265B" w:rsidRDefault="00F3016C" w:rsidP="00F3016C">
      <w:pPr>
        <w:spacing w:after="0" w:line="240" w:lineRule="auto"/>
      </w:pPr>
      <w:r w:rsidRPr="00DF265B">
        <w:lastRenderedPageBreak/>
        <w:t>The following will be considered affiliated with McMaster University:</w:t>
      </w:r>
    </w:p>
    <w:p w14:paraId="5A010151" w14:textId="77777777" w:rsidR="00F3016C" w:rsidRPr="00DF265B" w:rsidRDefault="00F3016C" w:rsidP="00F3016C">
      <w:pPr>
        <w:pStyle w:val="ListParagraph"/>
        <w:numPr>
          <w:ilvl w:val="0"/>
          <w:numId w:val="40"/>
        </w:numPr>
        <w:spacing w:after="0" w:line="240" w:lineRule="auto"/>
        <w:ind w:left="567" w:hanging="425"/>
      </w:pPr>
      <w:r w:rsidRPr="00DF265B">
        <w:t>Faculty members of McMaster University with a tenured or tenure-stream academic appointment.</w:t>
      </w:r>
    </w:p>
    <w:p w14:paraId="739C55C4" w14:textId="77777777" w:rsidR="00F3016C" w:rsidRPr="00DF265B" w:rsidRDefault="00F3016C" w:rsidP="00F3016C">
      <w:pPr>
        <w:pStyle w:val="ListParagraph"/>
        <w:numPr>
          <w:ilvl w:val="0"/>
          <w:numId w:val="40"/>
        </w:numPr>
        <w:spacing w:after="0" w:line="240" w:lineRule="auto"/>
        <w:ind w:left="567" w:hanging="425"/>
      </w:pPr>
      <w:r w:rsidRPr="00DF265B">
        <w:t>Former faculty members of McMaster University who have retired while holding a tenured academic appointment.</w:t>
      </w:r>
    </w:p>
    <w:p w14:paraId="4F934799" w14:textId="77777777" w:rsidR="00F3016C" w:rsidRPr="00DF265B" w:rsidRDefault="00F3016C" w:rsidP="00F3016C">
      <w:pPr>
        <w:pStyle w:val="ListParagraph"/>
        <w:numPr>
          <w:ilvl w:val="0"/>
          <w:numId w:val="40"/>
        </w:numPr>
        <w:spacing w:after="0" w:line="240" w:lineRule="auto"/>
        <w:ind w:left="567" w:hanging="425"/>
      </w:pPr>
      <w:r w:rsidRPr="00DF265B">
        <w:t>Persons holding at least a one-year appointment at McMaster University. In the event the grantee's appointment at McMaster ends, unspent funds remaining at that time will be returned to the Arts Research Board.</w:t>
      </w:r>
    </w:p>
    <w:p w14:paraId="602E9B1C" w14:textId="5A486792" w:rsidR="00F3016C" w:rsidRPr="00DF265B" w:rsidRDefault="00F3016C" w:rsidP="00F3016C">
      <w:pPr>
        <w:pStyle w:val="ListParagraph"/>
        <w:numPr>
          <w:ilvl w:val="0"/>
          <w:numId w:val="40"/>
        </w:numPr>
        <w:spacing w:after="0" w:line="240" w:lineRule="auto"/>
        <w:ind w:left="567" w:hanging="425"/>
      </w:pPr>
      <w:r w:rsidRPr="00DF265B">
        <w:t xml:space="preserve">Postdoctoral fellows who are conducting scholarly activity in Humanities or Social Sciences </w:t>
      </w:r>
      <w:r w:rsidR="006D7918">
        <w:t xml:space="preserve">fields </w:t>
      </w:r>
      <w:r w:rsidRPr="00DF265B">
        <w:t>and who are</w:t>
      </w:r>
      <w:r w:rsidRPr="00174DF2">
        <w:t xml:space="preserve"> </w:t>
      </w:r>
      <w:r w:rsidRPr="00DF265B">
        <w:t>supervised by a faculty member of McMaster University who holds a tenured or tenure-stream appointment.</w:t>
      </w:r>
    </w:p>
    <w:p w14:paraId="77017BE7" w14:textId="6EA1E877" w:rsidR="00F3016C" w:rsidRPr="00DF265B" w:rsidRDefault="00F3016C" w:rsidP="00AF0C6A">
      <w:pPr>
        <w:spacing w:after="0" w:line="240" w:lineRule="auto"/>
      </w:pPr>
      <w:r w:rsidRPr="00DF265B">
        <w:t xml:space="preserve">Individuals who hold teaching track or non-tenure track positions are eligible to apply for ARB funding for research and travel, provided they obtain explicit permission from their Faculty </w:t>
      </w:r>
      <w:r w:rsidRPr="00D70B49">
        <w:t>Deans</w:t>
      </w:r>
      <w:r w:rsidR="00AF0C6A" w:rsidRPr="00D70B49">
        <w:t xml:space="preserve"> (or their delegate).</w:t>
      </w:r>
      <w:r w:rsidR="00AF0C6A" w:rsidRPr="00AF0C6A">
        <w:t xml:space="preserve"> </w:t>
      </w:r>
    </w:p>
    <w:p w14:paraId="0EFB3AFE" w14:textId="77777777" w:rsidR="00B12E39" w:rsidRPr="00DF265B" w:rsidRDefault="00F3016C" w:rsidP="00B12E39">
      <w:pPr>
        <w:pStyle w:val="ListParagraph"/>
        <w:numPr>
          <w:ilvl w:val="0"/>
          <w:numId w:val="40"/>
        </w:numPr>
        <w:spacing w:after="0" w:line="240" w:lineRule="auto"/>
        <w:ind w:left="567" w:hanging="425"/>
      </w:pPr>
      <w:r w:rsidRPr="00DF265B">
        <w:t xml:space="preserve">Other persons, including Adjunct Professors and Professional Librarians, who hold permanent appointments at McMaster University and who meet SSHRC eligibility criteria for SIG funding. </w:t>
      </w:r>
    </w:p>
    <w:p w14:paraId="5712CF4E" w14:textId="77777777" w:rsidR="00A431C6" w:rsidRPr="00DF265B" w:rsidRDefault="00A431C6" w:rsidP="00F3016C">
      <w:pPr>
        <w:spacing w:after="0" w:line="240" w:lineRule="auto"/>
      </w:pPr>
    </w:p>
    <w:p w14:paraId="07A7C38C" w14:textId="77777777" w:rsidR="00F3016C" w:rsidRPr="00DF265B" w:rsidRDefault="00F3016C" w:rsidP="00F3016C">
      <w:pPr>
        <w:spacing w:after="0" w:line="240" w:lineRule="auto"/>
      </w:pPr>
      <w:r w:rsidRPr="00DF265B">
        <w:t xml:space="preserve">Students and visiting fellows or scholars are </w:t>
      </w:r>
      <w:r w:rsidRPr="00DF265B">
        <w:rPr>
          <w:b/>
        </w:rPr>
        <w:t>NOT</w:t>
      </w:r>
      <w:r w:rsidRPr="00DF265B">
        <w:t xml:space="preserve"> eligible for ARB funding. However, SSHRC encourages the employment of students in SIG-funded research.</w:t>
      </w:r>
    </w:p>
    <w:p w14:paraId="4A058E07" w14:textId="77777777" w:rsidR="00B12E39" w:rsidRPr="00DF265B" w:rsidRDefault="00B12E39" w:rsidP="00F3016C">
      <w:pPr>
        <w:spacing w:after="0" w:line="240" w:lineRule="auto"/>
      </w:pPr>
    </w:p>
    <w:p w14:paraId="522676E9" w14:textId="77777777" w:rsidR="00B12E39" w:rsidRPr="00DF265B" w:rsidRDefault="00B12E39" w:rsidP="00F3016C">
      <w:pPr>
        <w:spacing w:after="0" w:line="240" w:lineRule="auto"/>
      </w:pPr>
      <w:r w:rsidRPr="00DF265B">
        <w:t>Release Time Stipends (RTS) are not allowed under SIG rules. RTS requests must be addressed at the institutional level.</w:t>
      </w:r>
    </w:p>
    <w:p w14:paraId="28ACB6B7" w14:textId="77777777" w:rsidR="00F3016C" w:rsidRPr="00F77239" w:rsidRDefault="00F3016C" w:rsidP="00F3016C">
      <w:pPr>
        <w:spacing w:after="0" w:line="240" w:lineRule="auto"/>
        <w:rPr>
          <w:color w:val="7F7F7F" w:themeColor="text1" w:themeTint="80"/>
        </w:rPr>
      </w:pPr>
    </w:p>
    <w:p w14:paraId="04EA5DCE" w14:textId="71CE59EF" w:rsidR="00F3016C" w:rsidRPr="00F77239" w:rsidRDefault="00377F3E" w:rsidP="00A431C6">
      <w:pPr>
        <w:pStyle w:val="Heading2"/>
        <w:ind w:left="0"/>
        <w:rPr>
          <w:rFonts w:asciiTheme="minorHAnsi" w:hAnsiTheme="minorHAnsi"/>
          <w:i/>
          <w:iCs/>
          <w:color w:val="443A28" w:themeColor="background2" w:themeShade="40"/>
          <w:sz w:val="22"/>
          <w:szCs w:val="22"/>
        </w:rPr>
      </w:pPr>
      <w:r w:rsidRPr="00F77239">
        <w:rPr>
          <w:rFonts w:asciiTheme="minorHAnsi" w:hAnsiTheme="minorHAnsi"/>
          <w:i/>
          <w:iCs/>
          <w:color w:val="443A28" w:themeColor="background2" w:themeShade="40"/>
          <w:sz w:val="22"/>
          <w:szCs w:val="22"/>
        </w:rPr>
        <w:t xml:space="preserve">Emerging </w:t>
      </w:r>
      <w:r w:rsidR="00F3016C" w:rsidRPr="00F77239">
        <w:rPr>
          <w:rFonts w:asciiTheme="minorHAnsi" w:hAnsiTheme="minorHAnsi"/>
          <w:i/>
          <w:iCs/>
          <w:color w:val="443A28" w:themeColor="background2" w:themeShade="40"/>
          <w:sz w:val="22"/>
          <w:szCs w:val="22"/>
        </w:rPr>
        <w:t>Scholars</w:t>
      </w:r>
    </w:p>
    <w:p w14:paraId="3C8FA08A" w14:textId="01D83B19" w:rsidR="00377F3E" w:rsidRPr="00DF265B" w:rsidRDefault="00F3016C" w:rsidP="00377F3E">
      <w:pPr>
        <w:spacing w:after="0"/>
        <w:jc w:val="both"/>
      </w:pPr>
      <w:r w:rsidRPr="00DF265B">
        <w:t xml:space="preserve">Applicants may request consideration as </w:t>
      </w:r>
      <w:r w:rsidR="00377F3E" w:rsidRPr="00DF265B">
        <w:t xml:space="preserve">emerging </w:t>
      </w:r>
      <w:r w:rsidRPr="00DF265B">
        <w:t xml:space="preserve">scholars. Applications from </w:t>
      </w:r>
      <w:r w:rsidR="00377F3E" w:rsidRPr="00DF265B">
        <w:t xml:space="preserve">emerging </w:t>
      </w:r>
      <w:r w:rsidRPr="00DF265B">
        <w:t xml:space="preserve">scholars will be adjudicated separately from all other applications. </w:t>
      </w:r>
    </w:p>
    <w:p w14:paraId="0FE03C97" w14:textId="138B4219" w:rsidR="00377F3E" w:rsidRPr="00DF265B" w:rsidRDefault="00377F3E" w:rsidP="002C2039">
      <w:pPr>
        <w:spacing w:after="0"/>
        <w:jc w:val="both"/>
      </w:pPr>
      <w:r w:rsidRPr="00DF265B">
        <w:t>An emerging scholar is someone who has not yet had the opportunity to establish an extensive record of research achievement but is in the process of building one.</w:t>
      </w:r>
    </w:p>
    <w:p w14:paraId="7CAB2F95" w14:textId="77777777" w:rsidR="00377F3E" w:rsidRPr="00DF265B" w:rsidRDefault="00377F3E" w:rsidP="002C2039">
      <w:pPr>
        <w:jc w:val="both"/>
      </w:pPr>
      <w:r w:rsidRPr="00DF265B">
        <w:t>Applicants identifying themselves as an emerging scholar must demonstrate that they have not applied successfully, as principal investigator or project director, for a grant offered through SSHRC, the Natural Sciences and Engineering Research Council, or the Canadian Institutes of Health Research. Emerging scholars may, however, have previously held or currently hold knowledge mobilization grants and/or SSHRC Partnership Engage Grants.</w:t>
      </w:r>
    </w:p>
    <w:p w14:paraId="09A1C3B7" w14:textId="77777777" w:rsidR="00377F3E" w:rsidRPr="00DF265B" w:rsidRDefault="00377F3E" w:rsidP="002C2039">
      <w:pPr>
        <w:spacing w:after="0" w:line="240" w:lineRule="auto"/>
        <w:jc w:val="both"/>
      </w:pPr>
      <w:r w:rsidRPr="00DF265B">
        <w:t>In addition, they must meet at least one of the following criteria:</w:t>
      </w:r>
    </w:p>
    <w:p w14:paraId="1DDE0C03" w14:textId="77777777" w:rsidR="00377F3E" w:rsidRPr="00DF265B" w:rsidRDefault="00377F3E" w:rsidP="00377F3E">
      <w:pPr>
        <w:pStyle w:val="ListParagraph"/>
        <w:numPr>
          <w:ilvl w:val="0"/>
          <w:numId w:val="46"/>
        </w:numPr>
        <w:spacing w:after="0" w:line="240" w:lineRule="auto"/>
        <w:jc w:val="both"/>
        <w:rPr>
          <w:rFonts w:eastAsia="Times New Roman"/>
        </w:rPr>
      </w:pPr>
      <w:r w:rsidRPr="00DF265B">
        <w:rPr>
          <w:rFonts w:eastAsia="Times New Roman"/>
        </w:rPr>
        <w:t>have completed their highest degree no more than six years before the competition deadline (SSHRC considers only the date of completion of the first doctorate); or</w:t>
      </w:r>
    </w:p>
    <w:p w14:paraId="6A7FA255" w14:textId="77777777" w:rsidR="00377F3E" w:rsidRPr="00DF265B" w:rsidRDefault="00377F3E" w:rsidP="00377F3E">
      <w:pPr>
        <w:pStyle w:val="ListParagraph"/>
        <w:numPr>
          <w:ilvl w:val="0"/>
          <w:numId w:val="46"/>
        </w:numPr>
        <w:spacing w:after="0" w:line="240" w:lineRule="auto"/>
        <w:jc w:val="both"/>
        <w:rPr>
          <w:rFonts w:eastAsia="Times New Roman"/>
        </w:rPr>
      </w:pPr>
      <w:r w:rsidRPr="00DF265B">
        <w:rPr>
          <w:rFonts w:eastAsia="Times New Roman"/>
        </w:rPr>
        <w:t>have held a tenured or tenure-track postsecondary appointment for less than six years; or</w:t>
      </w:r>
    </w:p>
    <w:p w14:paraId="3D838F84" w14:textId="77777777" w:rsidR="00377F3E" w:rsidRPr="00DF265B" w:rsidRDefault="00377F3E" w:rsidP="00377F3E">
      <w:pPr>
        <w:pStyle w:val="ListParagraph"/>
        <w:numPr>
          <w:ilvl w:val="0"/>
          <w:numId w:val="46"/>
        </w:numPr>
        <w:spacing w:after="0" w:line="240" w:lineRule="auto"/>
        <w:jc w:val="both"/>
        <w:rPr>
          <w:rFonts w:eastAsia="Times New Roman"/>
        </w:rPr>
      </w:pPr>
      <w:r w:rsidRPr="00DF265B">
        <w:rPr>
          <w:rFonts w:eastAsia="Times New Roman"/>
        </w:rPr>
        <w:t>have held a postsecondary appointment, but never a tenure-track position (in the case of institutions that offer tenure-track positions); or</w:t>
      </w:r>
    </w:p>
    <w:p w14:paraId="7B257F5C" w14:textId="77777777" w:rsidR="00377F3E" w:rsidRPr="00DF265B" w:rsidRDefault="00377F3E" w:rsidP="00377F3E">
      <w:pPr>
        <w:pStyle w:val="ListParagraph"/>
        <w:numPr>
          <w:ilvl w:val="0"/>
          <w:numId w:val="46"/>
        </w:numPr>
        <w:spacing w:after="0" w:line="240" w:lineRule="auto"/>
        <w:jc w:val="both"/>
        <w:rPr>
          <w:rFonts w:eastAsia="Times New Roman"/>
        </w:rPr>
      </w:pPr>
      <w:r w:rsidRPr="00DF265B">
        <w:rPr>
          <w:rFonts w:eastAsia="Times New Roman"/>
        </w:rPr>
        <w:t>have had their careers significantly interrupted or delayed for health or family reasons within the past six years.</w:t>
      </w:r>
    </w:p>
    <w:p w14:paraId="42C87723" w14:textId="3FA49FCC" w:rsidR="00377F3E" w:rsidRPr="00DF265B" w:rsidRDefault="00377F3E" w:rsidP="009832A1">
      <w:pPr>
        <w:spacing w:after="0" w:line="240" w:lineRule="auto"/>
      </w:pPr>
    </w:p>
    <w:p w14:paraId="510EB353" w14:textId="0BFAC301" w:rsidR="00FB7F45" w:rsidRPr="00D70B49" w:rsidRDefault="00FB7F45" w:rsidP="00FB7F45">
      <w:pPr>
        <w:pStyle w:val="Heading4"/>
        <w:spacing w:before="0" w:line="240" w:lineRule="auto"/>
        <w:rPr>
          <w:rFonts w:asciiTheme="minorHAnsi" w:hAnsiTheme="minorHAnsi"/>
          <w:i w:val="0"/>
          <w:iCs w:val="0"/>
        </w:rPr>
      </w:pPr>
      <w:r w:rsidRPr="00DF265B">
        <w:rPr>
          <w:rFonts w:asciiTheme="minorHAnsi" w:hAnsiTheme="minorHAnsi"/>
          <w:color w:val="443A28" w:themeColor="background2" w:themeShade="40"/>
        </w:rPr>
        <w:t>Po</w:t>
      </w:r>
      <w:r w:rsidRPr="006A1BC3">
        <w:rPr>
          <w:rFonts w:asciiTheme="minorHAnsi" w:hAnsiTheme="minorHAnsi"/>
          <w:color w:val="auto"/>
        </w:rPr>
        <w:t>stdoctoral Fellows</w:t>
      </w:r>
      <w:r w:rsidR="006A1BC3" w:rsidRPr="006A1BC3">
        <w:rPr>
          <w:rFonts w:asciiTheme="minorHAnsi" w:hAnsiTheme="minorHAnsi"/>
          <w:color w:val="auto"/>
        </w:rPr>
        <w:t xml:space="preserve"> </w:t>
      </w:r>
      <w:r w:rsidR="006A1BC3" w:rsidRPr="00D70B49">
        <w:rPr>
          <w:rFonts w:asciiTheme="minorHAnsi" w:hAnsiTheme="minorHAnsi"/>
          <w:color w:val="auto"/>
        </w:rPr>
        <w:t xml:space="preserve">and </w:t>
      </w:r>
      <w:r w:rsidR="006A1BC3" w:rsidRPr="00D70B49">
        <w:rPr>
          <w:rStyle w:val="Emphasis"/>
          <w:rFonts w:asciiTheme="minorHAnsi" w:hAnsiTheme="minorHAnsi"/>
          <w:i/>
          <w:iCs/>
          <w:color w:val="auto"/>
        </w:rPr>
        <w:t>individuals holding contractually</w:t>
      </w:r>
      <w:r w:rsidR="00C25FAE">
        <w:rPr>
          <w:rStyle w:val="Emphasis"/>
          <w:rFonts w:asciiTheme="minorHAnsi" w:hAnsiTheme="minorHAnsi"/>
          <w:i/>
          <w:iCs/>
          <w:color w:val="auto"/>
        </w:rPr>
        <w:t xml:space="preserve"> </w:t>
      </w:r>
      <w:r w:rsidR="006A1BC3" w:rsidRPr="00D70B49">
        <w:rPr>
          <w:rStyle w:val="Emphasis"/>
          <w:rFonts w:asciiTheme="minorHAnsi" w:hAnsiTheme="minorHAnsi"/>
          <w:i/>
          <w:iCs/>
          <w:color w:val="auto"/>
        </w:rPr>
        <w:t>limited appointments:</w:t>
      </w:r>
    </w:p>
    <w:p w14:paraId="3C025723" w14:textId="14E79AA0" w:rsidR="00FB7F45" w:rsidRPr="00D70B49" w:rsidRDefault="00FB7F45" w:rsidP="00FB7F45">
      <w:pPr>
        <w:pStyle w:val="ListParagraph"/>
        <w:numPr>
          <w:ilvl w:val="0"/>
          <w:numId w:val="43"/>
        </w:numPr>
        <w:spacing w:after="0" w:line="240" w:lineRule="auto"/>
        <w:rPr>
          <w:rStyle w:val="Emphasis"/>
          <w:i w:val="0"/>
        </w:rPr>
      </w:pPr>
      <w:r w:rsidRPr="00D70B49">
        <w:rPr>
          <w:rStyle w:val="Emphasis"/>
          <w:i w:val="0"/>
        </w:rPr>
        <w:t xml:space="preserve">As postdoctoral fellows satisfy the eligibility criteria, they may be considered </w:t>
      </w:r>
      <w:r w:rsidR="00796234" w:rsidRPr="00D70B49">
        <w:rPr>
          <w:rStyle w:val="Emphasis"/>
          <w:i w:val="0"/>
        </w:rPr>
        <w:t>emerging</w:t>
      </w:r>
      <w:r w:rsidRPr="00D70B49">
        <w:rPr>
          <w:rStyle w:val="Emphasis"/>
          <w:i w:val="0"/>
        </w:rPr>
        <w:t xml:space="preserve"> scholars. </w:t>
      </w:r>
    </w:p>
    <w:p w14:paraId="3CE83144" w14:textId="15C22B8F" w:rsidR="006A1BC3" w:rsidRPr="00D70B49" w:rsidRDefault="00FB7F45" w:rsidP="006C7508">
      <w:pPr>
        <w:pStyle w:val="ListParagraph"/>
        <w:numPr>
          <w:ilvl w:val="0"/>
          <w:numId w:val="43"/>
        </w:numPr>
        <w:spacing w:after="0" w:line="240" w:lineRule="auto"/>
        <w:rPr>
          <w:rStyle w:val="Emphasis"/>
          <w:i w:val="0"/>
        </w:rPr>
      </w:pPr>
      <w:r w:rsidRPr="00D70B49">
        <w:rPr>
          <w:rStyle w:val="Emphasis"/>
          <w:i w:val="0"/>
        </w:rPr>
        <w:t>Applications from postdoctoral fellows and individuals holding contractually</w:t>
      </w:r>
      <w:r w:rsidR="00C25FAE">
        <w:rPr>
          <w:rStyle w:val="Emphasis"/>
          <w:i w:val="0"/>
        </w:rPr>
        <w:t xml:space="preserve"> </w:t>
      </w:r>
      <w:r w:rsidRPr="00D70B49">
        <w:rPr>
          <w:rStyle w:val="Emphasis"/>
          <w:i w:val="0"/>
        </w:rPr>
        <w:t xml:space="preserve">limited appointments must include a work plan showing how the work for which funds are being sought will be completed within the contract period. </w:t>
      </w:r>
    </w:p>
    <w:p w14:paraId="5F819556" w14:textId="66B15A75" w:rsidR="00794A29" w:rsidRPr="006A1BC3" w:rsidRDefault="00794A29" w:rsidP="006C7508">
      <w:pPr>
        <w:pStyle w:val="ListParagraph"/>
        <w:numPr>
          <w:ilvl w:val="0"/>
          <w:numId w:val="43"/>
        </w:numPr>
        <w:spacing w:after="0" w:line="240" w:lineRule="auto"/>
        <w:rPr>
          <w:rStyle w:val="Emphasis"/>
          <w:i w:val="0"/>
        </w:rPr>
      </w:pPr>
      <w:r w:rsidRPr="00D70B49">
        <w:rPr>
          <w:bCs/>
        </w:rPr>
        <w:t xml:space="preserve">Postdoctoral fellows must obtain both the chair and the dean’s </w:t>
      </w:r>
      <w:bookmarkStart w:id="0" w:name="_Hlk150417889"/>
      <w:r w:rsidR="00AF0C6A" w:rsidRPr="00D70B49">
        <w:t xml:space="preserve">(or their delegate) </w:t>
      </w:r>
      <w:bookmarkEnd w:id="0"/>
      <w:r w:rsidRPr="00D70B49">
        <w:rPr>
          <w:bCs/>
        </w:rPr>
        <w:t>signature</w:t>
      </w:r>
      <w:r w:rsidR="007171E1" w:rsidRPr="006A1BC3">
        <w:rPr>
          <w:bCs/>
        </w:rPr>
        <w:t>.</w:t>
      </w:r>
    </w:p>
    <w:p w14:paraId="094AF131" w14:textId="77777777" w:rsidR="00FB7F45" w:rsidRPr="00DF265B" w:rsidRDefault="00FB7F45" w:rsidP="00FB7F45">
      <w:pPr>
        <w:spacing w:after="0" w:line="240" w:lineRule="auto"/>
        <w:ind w:left="360"/>
        <w:rPr>
          <w:rStyle w:val="Emphasis"/>
          <w:i w:val="0"/>
        </w:rPr>
      </w:pPr>
    </w:p>
    <w:p w14:paraId="1B139C53" w14:textId="77777777" w:rsidR="00F3016C" w:rsidRPr="00DF265B" w:rsidRDefault="00FB7F45" w:rsidP="00FB7F45">
      <w:pPr>
        <w:spacing w:line="240" w:lineRule="auto"/>
      </w:pPr>
      <w:r w:rsidRPr="00DF265B">
        <w:rPr>
          <w:rStyle w:val="Strong"/>
        </w:rPr>
        <w:t>Students and visiting fellows or scholars are not eligible to apply for ARB funding. However, SSHRC encourages the employment of students in SIG-funded research.</w:t>
      </w:r>
    </w:p>
    <w:p w14:paraId="72FC44F6" w14:textId="77777777" w:rsidR="00F46A9E" w:rsidRDefault="00F46A9E">
      <w:pPr>
        <w:rPr>
          <w:rFonts w:eastAsiaTheme="majorEastAsia" w:cstheme="majorBidi"/>
          <w:b/>
          <w:bCs/>
          <w:color w:val="7A0000"/>
        </w:rPr>
      </w:pPr>
      <w:r>
        <w:rPr>
          <w:color w:val="7A0000"/>
        </w:rPr>
        <w:br w:type="page"/>
      </w:r>
    </w:p>
    <w:p w14:paraId="5A60E67B" w14:textId="0A943685" w:rsidR="00F3016C" w:rsidRPr="00DF265B" w:rsidRDefault="00F3016C" w:rsidP="00B12E39">
      <w:pPr>
        <w:pStyle w:val="Heading2"/>
        <w:ind w:left="0"/>
        <w:rPr>
          <w:rFonts w:asciiTheme="minorHAnsi" w:hAnsiTheme="minorHAnsi"/>
          <w:color w:val="7A0000"/>
          <w:sz w:val="22"/>
          <w:szCs w:val="22"/>
        </w:rPr>
      </w:pPr>
      <w:r w:rsidRPr="00DF265B">
        <w:rPr>
          <w:rFonts w:asciiTheme="minorHAnsi" w:hAnsiTheme="minorHAnsi"/>
          <w:color w:val="7A0000"/>
          <w:sz w:val="22"/>
          <w:szCs w:val="22"/>
        </w:rPr>
        <w:lastRenderedPageBreak/>
        <w:t>Final Report Requirement</w:t>
      </w:r>
    </w:p>
    <w:p w14:paraId="5276DDB7" w14:textId="77777777" w:rsidR="00F41BDB" w:rsidRPr="00DF265B" w:rsidRDefault="00F41BDB" w:rsidP="00F3016C">
      <w:pPr>
        <w:spacing w:after="0" w:line="240" w:lineRule="auto"/>
        <w:ind w:left="142"/>
        <w:rPr>
          <w:b/>
        </w:rPr>
      </w:pPr>
    </w:p>
    <w:p w14:paraId="352497F0" w14:textId="77777777" w:rsidR="00F3016C" w:rsidRPr="00DF265B" w:rsidRDefault="00F3016C" w:rsidP="00B12E39">
      <w:pPr>
        <w:spacing w:after="0" w:line="240" w:lineRule="auto"/>
        <w:ind w:right="57"/>
        <w:rPr>
          <w:b/>
          <w:i/>
        </w:rPr>
      </w:pPr>
      <w:r w:rsidRPr="00DF265B">
        <w:rPr>
          <w:b/>
          <w:i/>
        </w:rPr>
        <w:t xml:space="preserve">To be eligible for future ARB funding, researchers who have been awarded ARB </w:t>
      </w:r>
      <w:r w:rsidR="00A431C6" w:rsidRPr="00DF265B">
        <w:rPr>
          <w:b/>
          <w:i/>
        </w:rPr>
        <w:t xml:space="preserve">SSHRC Explore or Exchange </w:t>
      </w:r>
      <w:r w:rsidRPr="00DF265B">
        <w:rPr>
          <w:b/>
          <w:i/>
        </w:rPr>
        <w:t>funds must submi</w:t>
      </w:r>
      <w:r w:rsidR="00A431C6" w:rsidRPr="00DF265B">
        <w:rPr>
          <w:b/>
          <w:i/>
        </w:rPr>
        <w:t xml:space="preserve">t a final report to ROADS </w:t>
      </w:r>
      <w:r w:rsidR="00A431C6" w:rsidRPr="00DF265B">
        <w:rPr>
          <w:b/>
          <w:bCs/>
          <w:i/>
        </w:rPr>
        <w:t>within six months</w:t>
      </w:r>
      <w:r w:rsidR="00A431C6" w:rsidRPr="00DF265B">
        <w:rPr>
          <w:b/>
          <w:i/>
        </w:rPr>
        <w:t xml:space="preserve"> of completing the project.</w:t>
      </w:r>
    </w:p>
    <w:p w14:paraId="57E59F96" w14:textId="77777777" w:rsidR="00F3016C" w:rsidRPr="00DF265B" w:rsidRDefault="00F3016C" w:rsidP="00F3016C">
      <w:pPr>
        <w:spacing w:after="0" w:line="240" w:lineRule="auto"/>
        <w:ind w:left="142"/>
        <w:rPr>
          <w:b/>
        </w:rPr>
      </w:pPr>
    </w:p>
    <w:p w14:paraId="63BA1F85" w14:textId="77777777" w:rsidR="00794A29" w:rsidRPr="00DF265B" w:rsidRDefault="00794A29" w:rsidP="00F3016C">
      <w:pPr>
        <w:spacing w:after="0" w:line="240" w:lineRule="auto"/>
        <w:ind w:left="142"/>
        <w:rPr>
          <w:b/>
        </w:rPr>
      </w:pPr>
    </w:p>
    <w:p w14:paraId="76580E13" w14:textId="0AFDCE8A" w:rsidR="00847870" w:rsidRPr="00DF265B" w:rsidRDefault="001947C3" w:rsidP="00233EEA">
      <w:pPr>
        <w:pStyle w:val="Heading1"/>
        <w:rPr>
          <w:rFonts w:asciiTheme="minorHAnsi" w:hAnsiTheme="minorHAnsi"/>
        </w:rPr>
      </w:pPr>
      <w:r w:rsidRPr="00DF265B">
        <w:rPr>
          <w:rFonts w:asciiTheme="minorHAnsi" w:hAnsiTheme="minorHAnsi"/>
        </w:rPr>
        <w:t>Categories of ARB Grants</w:t>
      </w:r>
    </w:p>
    <w:p w14:paraId="2B20EA29" w14:textId="77777777" w:rsidR="00783BAD" w:rsidRPr="00DF265B" w:rsidRDefault="00783BAD" w:rsidP="00783BAD">
      <w:pPr>
        <w:spacing w:after="0" w:line="240" w:lineRule="auto"/>
      </w:pPr>
    </w:p>
    <w:p w14:paraId="28C3F918" w14:textId="77777777" w:rsidR="00A82802" w:rsidRPr="00DF265B" w:rsidRDefault="00A82802" w:rsidP="00277C92">
      <w:pPr>
        <w:spacing w:after="0" w:line="240" w:lineRule="auto"/>
      </w:pPr>
      <w:r w:rsidRPr="00DF265B">
        <w:t xml:space="preserve">The following are the </w:t>
      </w:r>
      <w:r w:rsidR="007A10E7" w:rsidRPr="00DF265B">
        <w:t xml:space="preserve">four </w:t>
      </w:r>
      <w:r w:rsidRPr="00DF265B">
        <w:t xml:space="preserve">categories of grants supported by </w:t>
      </w:r>
      <w:r w:rsidR="007A10E7" w:rsidRPr="00DF265B">
        <w:t xml:space="preserve">the </w:t>
      </w:r>
      <w:r w:rsidRPr="00DF265B">
        <w:t>ARB:</w:t>
      </w:r>
    </w:p>
    <w:p w14:paraId="0137CB2A" w14:textId="37768B8F" w:rsidR="00A82802" w:rsidRPr="00DF265B" w:rsidRDefault="00372060" w:rsidP="00277C92">
      <w:pPr>
        <w:pStyle w:val="ListParagraph"/>
        <w:numPr>
          <w:ilvl w:val="0"/>
          <w:numId w:val="31"/>
        </w:numPr>
        <w:spacing w:after="0" w:line="240" w:lineRule="auto"/>
        <w:rPr>
          <w:b/>
          <w:color w:val="0070C0"/>
        </w:rPr>
      </w:pPr>
      <w:hyperlink w:anchor="_1.__SSHRC" w:history="1">
        <w:r w:rsidR="00A82802" w:rsidRPr="00DF265B">
          <w:rPr>
            <w:rStyle w:val="Hyperlink"/>
            <w:b/>
            <w:color w:val="0070C0"/>
          </w:rPr>
          <w:t>SSHRC Exchange</w:t>
        </w:r>
        <w:r w:rsidR="009E2877" w:rsidRPr="00DF265B">
          <w:rPr>
            <w:rStyle w:val="Hyperlink"/>
            <w:b/>
            <w:color w:val="0070C0"/>
          </w:rPr>
          <w:t xml:space="preserve"> - </w:t>
        </w:r>
        <w:r w:rsidR="00A82802" w:rsidRPr="00DF265B">
          <w:rPr>
            <w:rStyle w:val="Hyperlink"/>
            <w:b/>
            <w:color w:val="0070C0"/>
          </w:rPr>
          <w:t>Conference Attendance &amp; Representational Activities Grant</w:t>
        </w:r>
      </w:hyperlink>
    </w:p>
    <w:p w14:paraId="5479BBA2" w14:textId="59D4C464" w:rsidR="00A82802" w:rsidRPr="00DF265B" w:rsidRDefault="00372060" w:rsidP="00EA730D">
      <w:pPr>
        <w:pStyle w:val="ListParagraph"/>
        <w:numPr>
          <w:ilvl w:val="0"/>
          <w:numId w:val="31"/>
        </w:numPr>
        <w:spacing w:after="0" w:line="240" w:lineRule="auto"/>
        <w:rPr>
          <w:b/>
          <w:color w:val="0070C0"/>
        </w:rPr>
      </w:pPr>
      <w:hyperlink w:anchor="_2.__SSHRC" w:history="1">
        <w:r w:rsidR="00A82802" w:rsidRPr="00DF265B">
          <w:rPr>
            <w:rStyle w:val="Hyperlink"/>
            <w:b/>
            <w:color w:val="0070C0"/>
          </w:rPr>
          <w:t xml:space="preserve">SSHRC Explore </w:t>
        </w:r>
        <w:r w:rsidR="009E2877" w:rsidRPr="00DF265B">
          <w:rPr>
            <w:rStyle w:val="Hyperlink"/>
            <w:b/>
            <w:color w:val="0070C0"/>
          </w:rPr>
          <w:t xml:space="preserve">- </w:t>
        </w:r>
        <w:r w:rsidR="00A82802" w:rsidRPr="00DF265B">
          <w:rPr>
            <w:rStyle w:val="Hyperlink"/>
            <w:b/>
            <w:color w:val="0070C0"/>
          </w:rPr>
          <w:t>Standard Research</w:t>
        </w:r>
        <w:r w:rsidR="0098367B" w:rsidRPr="00DF265B">
          <w:rPr>
            <w:rStyle w:val="Hyperlink"/>
            <w:b/>
            <w:color w:val="0070C0"/>
          </w:rPr>
          <w:t xml:space="preserve"> and Research </w:t>
        </w:r>
        <w:r w:rsidR="00A82802" w:rsidRPr="00DF265B">
          <w:rPr>
            <w:rStyle w:val="Hyperlink"/>
            <w:b/>
            <w:color w:val="0070C0"/>
          </w:rPr>
          <w:t>Creati</w:t>
        </w:r>
        <w:r w:rsidR="005D3978" w:rsidRPr="00DF265B">
          <w:rPr>
            <w:rStyle w:val="Hyperlink"/>
            <w:b/>
            <w:color w:val="0070C0"/>
          </w:rPr>
          <w:t>on</w:t>
        </w:r>
        <w:r w:rsidR="00A82802" w:rsidRPr="00DF265B">
          <w:rPr>
            <w:rStyle w:val="Hyperlink"/>
            <w:b/>
            <w:color w:val="0070C0"/>
          </w:rPr>
          <w:t xml:space="preserve"> Grant</w:t>
        </w:r>
      </w:hyperlink>
    </w:p>
    <w:p w14:paraId="577C9615" w14:textId="77777777" w:rsidR="00277C92" w:rsidRPr="00DF265B" w:rsidRDefault="00277C92" w:rsidP="00277C92">
      <w:pPr>
        <w:pStyle w:val="ListParagraph"/>
        <w:numPr>
          <w:ilvl w:val="0"/>
          <w:numId w:val="31"/>
        </w:numPr>
        <w:spacing w:after="100" w:afterAutospacing="1" w:line="240" w:lineRule="auto"/>
        <w:sectPr w:rsidR="00277C92" w:rsidRPr="00DF265B" w:rsidSect="00277C92">
          <w:footerReference w:type="default" r:id="rId9"/>
          <w:pgSz w:w="12240" w:h="15840"/>
          <w:pgMar w:top="1440" w:right="1080" w:bottom="1440" w:left="1080" w:header="720" w:footer="720" w:gutter="0"/>
          <w:cols w:space="720"/>
          <w:docGrid w:linePitch="360"/>
        </w:sectPr>
      </w:pPr>
    </w:p>
    <w:p w14:paraId="5D202A97" w14:textId="6E9086F9" w:rsidR="00A82802" w:rsidRPr="00DF265B" w:rsidRDefault="00372060" w:rsidP="00277C92">
      <w:pPr>
        <w:pStyle w:val="ListParagraph"/>
        <w:numPr>
          <w:ilvl w:val="0"/>
          <w:numId w:val="31"/>
        </w:numPr>
        <w:spacing w:after="100" w:afterAutospacing="1" w:line="240" w:lineRule="auto"/>
        <w:rPr>
          <w:b/>
          <w:color w:val="0070C0"/>
        </w:rPr>
      </w:pPr>
      <w:hyperlink w:anchor="_3.__SSHRC" w:history="1">
        <w:r w:rsidR="00A82802" w:rsidRPr="00DF265B">
          <w:rPr>
            <w:rStyle w:val="Hyperlink"/>
            <w:b/>
            <w:color w:val="0070C0"/>
          </w:rPr>
          <w:t xml:space="preserve">SSHRC Exchange </w:t>
        </w:r>
        <w:r w:rsidR="009E2877" w:rsidRPr="00DF265B">
          <w:rPr>
            <w:rStyle w:val="Hyperlink"/>
            <w:b/>
            <w:color w:val="0070C0"/>
          </w:rPr>
          <w:t xml:space="preserve">- </w:t>
        </w:r>
        <w:r w:rsidR="00A82802" w:rsidRPr="00DF265B">
          <w:rPr>
            <w:rStyle w:val="Hyperlink"/>
            <w:b/>
            <w:color w:val="0070C0"/>
          </w:rPr>
          <w:t>Scholarly Publications Grant</w:t>
        </w:r>
      </w:hyperlink>
    </w:p>
    <w:p w14:paraId="360EC802" w14:textId="52F98D92" w:rsidR="00F41BDB" w:rsidRPr="00DF265B" w:rsidRDefault="00372060" w:rsidP="00F41BDB">
      <w:pPr>
        <w:pStyle w:val="ListParagraph"/>
        <w:numPr>
          <w:ilvl w:val="0"/>
          <w:numId w:val="31"/>
        </w:numPr>
        <w:spacing w:after="0" w:line="240" w:lineRule="auto"/>
        <w:rPr>
          <w:rStyle w:val="Hyperlink"/>
          <w:b/>
          <w:color w:val="0070C0"/>
        </w:rPr>
      </w:pPr>
      <w:hyperlink w:anchor="_SSHRC_Explore_–" w:history="1">
        <w:r w:rsidR="00A82802" w:rsidRPr="00DF265B">
          <w:rPr>
            <w:rStyle w:val="Hyperlink"/>
            <w:b/>
            <w:color w:val="0070C0"/>
          </w:rPr>
          <w:t xml:space="preserve">SSHRC Explore </w:t>
        </w:r>
        <w:r w:rsidR="009E2877" w:rsidRPr="00DF265B">
          <w:rPr>
            <w:rStyle w:val="Hyperlink"/>
            <w:b/>
            <w:color w:val="0070C0"/>
          </w:rPr>
          <w:t xml:space="preserve">- </w:t>
        </w:r>
        <w:r w:rsidR="00A82802" w:rsidRPr="00DF265B">
          <w:rPr>
            <w:rStyle w:val="Hyperlink"/>
            <w:b/>
            <w:color w:val="0070C0"/>
          </w:rPr>
          <w:t>Major Collaborative Project Seed Grant</w:t>
        </w:r>
      </w:hyperlink>
    </w:p>
    <w:p w14:paraId="701BD6CE" w14:textId="77777777" w:rsidR="00FB7F45" w:rsidRPr="00FB7F45" w:rsidRDefault="00FB7F45" w:rsidP="00FB7F45">
      <w:pPr>
        <w:spacing w:after="0" w:line="240" w:lineRule="auto"/>
        <w:ind w:left="360"/>
        <w:rPr>
          <w:rStyle w:val="Hyperlink"/>
          <w:b/>
        </w:rPr>
      </w:pPr>
    </w:p>
    <w:p w14:paraId="770C941E" w14:textId="77777777" w:rsidR="00F3016C" w:rsidRPr="00DF265B" w:rsidRDefault="00B12E39" w:rsidP="00B12E39">
      <w:pPr>
        <w:pStyle w:val="Heading2"/>
        <w:ind w:left="0"/>
        <w:rPr>
          <w:rFonts w:asciiTheme="minorHAnsi" w:hAnsiTheme="minorHAnsi"/>
          <w:color w:val="7A0000"/>
          <w:sz w:val="22"/>
          <w:szCs w:val="22"/>
        </w:rPr>
      </w:pPr>
      <w:bookmarkStart w:id="1" w:name="_1.__SSHRC"/>
      <w:bookmarkEnd w:id="1"/>
      <w:r w:rsidRPr="00DF265B">
        <w:rPr>
          <w:rFonts w:asciiTheme="minorHAnsi" w:hAnsiTheme="minorHAnsi"/>
          <w:bCs w:val="0"/>
          <w:color w:val="7A0000"/>
          <w:szCs w:val="24"/>
        </w:rPr>
        <w:t xml:space="preserve">Application Processes, </w:t>
      </w:r>
      <w:r w:rsidR="00DB6BFF" w:rsidRPr="00DF265B">
        <w:rPr>
          <w:rFonts w:asciiTheme="minorHAnsi" w:hAnsiTheme="minorHAnsi"/>
          <w:bCs w:val="0"/>
          <w:color w:val="7A0000"/>
          <w:szCs w:val="24"/>
        </w:rPr>
        <w:t xml:space="preserve">Eligible Expenditures and </w:t>
      </w:r>
      <w:r w:rsidRPr="00DF265B">
        <w:rPr>
          <w:rFonts w:asciiTheme="minorHAnsi" w:hAnsiTheme="minorHAnsi"/>
          <w:bCs w:val="0"/>
          <w:color w:val="7A0000"/>
          <w:szCs w:val="24"/>
        </w:rPr>
        <w:t>Evaluation Criteria</w:t>
      </w:r>
    </w:p>
    <w:p w14:paraId="389B49B2" w14:textId="77777777" w:rsidR="00B12E39" w:rsidRPr="00DF265B" w:rsidRDefault="00B12E39" w:rsidP="00B12E39">
      <w:pPr>
        <w:pStyle w:val="Heading2"/>
        <w:ind w:left="0"/>
        <w:rPr>
          <w:rFonts w:asciiTheme="minorHAnsi" w:hAnsiTheme="minorHAnsi"/>
          <w:color w:val="7A0000"/>
          <w:sz w:val="22"/>
          <w:szCs w:val="22"/>
        </w:rPr>
      </w:pPr>
    </w:p>
    <w:p w14:paraId="386702D0" w14:textId="6B8058E7" w:rsidR="0037061C" w:rsidRPr="00DF265B" w:rsidRDefault="00B12E39" w:rsidP="00B12E39">
      <w:pPr>
        <w:pStyle w:val="Heading2"/>
        <w:ind w:left="0"/>
        <w:rPr>
          <w:rFonts w:asciiTheme="minorHAnsi" w:hAnsiTheme="minorHAnsi"/>
          <w:color w:val="0070C0"/>
          <w:sz w:val="22"/>
          <w:szCs w:val="22"/>
          <w:u w:val="single"/>
        </w:rPr>
      </w:pPr>
      <w:r w:rsidRPr="00DF265B">
        <w:rPr>
          <w:rFonts w:asciiTheme="minorHAnsi" w:hAnsiTheme="minorHAnsi"/>
          <w:color w:val="0070C0"/>
          <w:sz w:val="22"/>
          <w:szCs w:val="22"/>
        </w:rPr>
        <w:t>1.</w:t>
      </w:r>
      <w:r w:rsidR="0037743D" w:rsidRPr="00DF265B">
        <w:rPr>
          <w:rFonts w:asciiTheme="minorHAnsi" w:hAnsiTheme="minorHAnsi"/>
          <w:color w:val="0070C0"/>
          <w:sz w:val="22"/>
          <w:szCs w:val="22"/>
        </w:rPr>
        <w:t xml:space="preserve"> </w:t>
      </w:r>
      <w:r w:rsidR="0037061C" w:rsidRPr="00DF265B">
        <w:rPr>
          <w:rFonts w:asciiTheme="minorHAnsi" w:hAnsiTheme="minorHAnsi"/>
          <w:color w:val="0070C0"/>
          <w:sz w:val="22"/>
          <w:szCs w:val="22"/>
          <w:u w:val="single"/>
        </w:rPr>
        <w:t xml:space="preserve">SSHRC Exchange </w:t>
      </w:r>
      <w:r w:rsidR="009E2877" w:rsidRPr="00DF265B">
        <w:rPr>
          <w:rFonts w:asciiTheme="minorHAnsi" w:hAnsiTheme="minorHAnsi"/>
          <w:color w:val="0070C0"/>
          <w:sz w:val="22"/>
          <w:szCs w:val="22"/>
          <w:u w:val="single"/>
        </w:rPr>
        <w:t xml:space="preserve">- </w:t>
      </w:r>
      <w:r w:rsidR="0037061C" w:rsidRPr="00DF265B">
        <w:rPr>
          <w:rFonts w:asciiTheme="minorHAnsi" w:hAnsiTheme="minorHAnsi"/>
          <w:color w:val="0070C0"/>
          <w:sz w:val="22"/>
          <w:szCs w:val="22"/>
          <w:u w:val="single"/>
        </w:rPr>
        <w:t>Conference Attendance &amp; Representational Activities Grant</w:t>
      </w:r>
    </w:p>
    <w:p w14:paraId="62E3B489" w14:textId="77777777" w:rsidR="00783BAD" w:rsidRPr="00DF265B" w:rsidRDefault="00783BAD" w:rsidP="00783BAD">
      <w:pPr>
        <w:spacing w:after="0" w:line="240" w:lineRule="auto"/>
      </w:pPr>
    </w:p>
    <w:p w14:paraId="5491D6D7" w14:textId="77777777" w:rsidR="002F3329" w:rsidRPr="00311D1E" w:rsidRDefault="00B12E39" w:rsidP="00B12E39">
      <w:pPr>
        <w:spacing w:after="0" w:line="240" w:lineRule="auto"/>
        <w:rPr>
          <w:b/>
          <w:u w:val="single"/>
        </w:rPr>
      </w:pPr>
      <w:r w:rsidRPr="00DF265B">
        <w:rPr>
          <w:b/>
        </w:rPr>
        <w:t xml:space="preserve">    </w:t>
      </w:r>
      <w:r w:rsidR="0098748B" w:rsidRPr="00311D1E">
        <w:rPr>
          <w:b/>
          <w:color w:val="7A0000"/>
          <w:u w:val="single"/>
        </w:rPr>
        <w:t>Objectives</w:t>
      </w:r>
    </w:p>
    <w:p w14:paraId="79EBE598" w14:textId="3EBFF3B4" w:rsidR="00847870" w:rsidRPr="00311D1E" w:rsidRDefault="00847870" w:rsidP="00DC27E8">
      <w:pPr>
        <w:spacing w:after="0" w:line="240" w:lineRule="auto"/>
        <w:ind w:left="284"/>
      </w:pPr>
      <w:r w:rsidRPr="00311D1E">
        <w:t xml:space="preserve">The objectives of </w:t>
      </w:r>
      <w:r w:rsidR="0098748B" w:rsidRPr="00311D1E">
        <w:t xml:space="preserve">the SSHRC Exchange </w:t>
      </w:r>
      <w:r w:rsidR="003B1BA6" w:rsidRPr="00311D1E">
        <w:t xml:space="preserve">- </w:t>
      </w:r>
      <w:r w:rsidR="0098748B" w:rsidRPr="00311D1E">
        <w:t>Conference Attendance &amp; Representational Activities Gran</w:t>
      </w:r>
      <w:r w:rsidR="0070061A" w:rsidRPr="00311D1E">
        <w:t>t</w:t>
      </w:r>
      <w:r w:rsidR="003B1BA6" w:rsidRPr="00311D1E">
        <w:t>s</w:t>
      </w:r>
      <w:r w:rsidRPr="00311D1E">
        <w:t xml:space="preserve"> are to support </w:t>
      </w:r>
      <w:r w:rsidR="009C50FA" w:rsidRPr="00311D1E">
        <w:t xml:space="preserve">the applicant’s </w:t>
      </w:r>
      <w:r w:rsidRPr="00311D1E">
        <w:t>participation in national and international conferences of major scholarly significance, as well as representational activities for scholars who hold executive office in scholarly organizations; thereby contributing to the advancement and dissemination of knowledge in the Humanities, Social Sciences and Business and the enhancement of the stature of the participant and the University.</w:t>
      </w:r>
      <w:r w:rsidR="008106AE" w:rsidRPr="00311D1E">
        <w:t xml:space="preserve"> Presenting a major exhibition of work at a national or international conference </w:t>
      </w:r>
      <w:r w:rsidR="00567BA7" w:rsidRPr="00311D1E">
        <w:t xml:space="preserve">will </w:t>
      </w:r>
      <w:r w:rsidR="008106AE" w:rsidRPr="00311D1E">
        <w:t xml:space="preserve">also be </w:t>
      </w:r>
      <w:r w:rsidR="00567BA7" w:rsidRPr="00311D1E">
        <w:t>supported</w:t>
      </w:r>
      <w:r w:rsidR="008106AE" w:rsidRPr="00311D1E">
        <w:t xml:space="preserve"> but funding will be at the discretion of the Faculty Conference Sub-Committee.  Conference funding cannot be granted only for conference attendance.  </w:t>
      </w:r>
    </w:p>
    <w:p w14:paraId="69D40335" w14:textId="77777777" w:rsidR="00783BAD" w:rsidRPr="00311D1E" w:rsidRDefault="00783BAD" w:rsidP="00DC27E8">
      <w:pPr>
        <w:spacing w:after="0" w:line="240" w:lineRule="auto"/>
      </w:pPr>
    </w:p>
    <w:p w14:paraId="058C065D" w14:textId="77777777" w:rsidR="00331262" w:rsidRPr="00311D1E" w:rsidRDefault="00331262" w:rsidP="00331262">
      <w:pPr>
        <w:spacing w:after="0" w:line="240" w:lineRule="auto"/>
        <w:ind w:left="284"/>
        <w:rPr>
          <w:b/>
          <w:color w:val="7A0000"/>
          <w:u w:val="single"/>
        </w:rPr>
      </w:pPr>
      <w:r w:rsidRPr="00311D1E">
        <w:rPr>
          <w:b/>
          <w:color w:val="7A0000"/>
          <w:u w:val="single"/>
        </w:rPr>
        <w:t>Award Value</w:t>
      </w:r>
    </w:p>
    <w:p w14:paraId="67DCC5CB" w14:textId="08586681" w:rsidR="00A82802" w:rsidRPr="00311D1E" w:rsidRDefault="00A82802" w:rsidP="00DC27E8">
      <w:pPr>
        <w:spacing w:after="0" w:line="240" w:lineRule="auto"/>
        <w:ind w:left="284"/>
      </w:pPr>
      <w:r w:rsidRPr="00311D1E">
        <w:t xml:space="preserve">The maximum allowable </w:t>
      </w:r>
      <w:r w:rsidRPr="00311D1E">
        <w:rPr>
          <w:color w:val="000000"/>
        </w:rPr>
        <w:t xml:space="preserve">SSHRC Exchange </w:t>
      </w:r>
      <w:r w:rsidR="009E2877" w:rsidRPr="00311D1E">
        <w:rPr>
          <w:color w:val="000000"/>
        </w:rPr>
        <w:t xml:space="preserve">- </w:t>
      </w:r>
      <w:r w:rsidRPr="00311D1E">
        <w:t>Conference Attendance &amp; Representational Activities Grant</w:t>
      </w:r>
      <w:r w:rsidR="009E2877" w:rsidRPr="00311D1E">
        <w:t xml:space="preserve"> </w:t>
      </w:r>
      <w:r w:rsidRPr="00311D1E">
        <w:t>is $4,000</w:t>
      </w:r>
      <w:r w:rsidR="00510C2C" w:rsidRPr="00311D1E">
        <w:t xml:space="preserve">. </w:t>
      </w:r>
      <w:r w:rsidRPr="00311D1E">
        <w:t xml:space="preserve">Researchers who submit multiple applications to the same competition or who submit an application to more than one competition within two fiscal years (April 1 to March 31) will be awarded a maximum of $4,000 over the </w:t>
      </w:r>
      <w:proofErr w:type="gramStart"/>
      <w:r w:rsidRPr="00311D1E">
        <w:t>two year</w:t>
      </w:r>
      <w:proofErr w:type="gramEnd"/>
      <w:r w:rsidRPr="00311D1E">
        <w:t xml:space="preserve"> period.</w:t>
      </w:r>
    </w:p>
    <w:p w14:paraId="1B9CFCCD" w14:textId="77777777" w:rsidR="00856F1C" w:rsidRPr="00311D1E" w:rsidRDefault="00856F1C" w:rsidP="00DC27E8">
      <w:pPr>
        <w:spacing w:after="0" w:line="240" w:lineRule="auto"/>
        <w:ind w:left="284"/>
      </w:pPr>
    </w:p>
    <w:p w14:paraId="709B0835" w14:textId="77777777" w:rsidR="00856F1C" w:rsidRPr="00311D1E" w:rsidRDefault="00856F1C" w:rsidP="00B12E39">
      <w:pPr>
        <w:spacing w:after="0" w:line="240" w:lineRule="auto"/>
        <w:ind w:left="284"/>
        <w:rPr>
          <w:bCs/>
          <w:lang w:val="en-CA"/>
        </w:rPr>
      </w:pPr>
      <w:r w:rsidRPr="00311D1E">
        <w:rPr>
          <w:b/>
          <w:bCs/>
          <w:i/>
          <w:color w:val="443A28" w:themeColor="background2" w:themeShade="40"/>
        </w:rPr>
        <w:t>Please Note:</w:t>
      </w:r>
      <w:r w:rsidRPr="00311D1E">
        <w:rPr>
          <w:b/>
          <w:bCs/>
          <w:color w:val="443A28" w:themeColor="background2" w:themeShade="40"/>
        </w:rPr>
        <w:t> </w:t>
      </w:r>
      <w:r w:rsidRPr="00311D1E">
        <w:rPr>
          <w:b/>
          <w:bCs/>
        </w:rPr>
        <w:t xml:space="preserve"> </w:t>
      </w:r>
      <w:r w:rsidRPr="00311D1E">
        <w:rPr>
          <w:bCs/>
          <w:position w:val="1"/>
          <w:lang w:val="en-CA"/>
        </w:rPr>
        <w:t>Depending on the</w:t>
      </w:r>
      <w:r w:rsidRPr="00311D1E">
        <w:rPr>
          <w:bCs/>
          <w:spacing w:val="14"/>
          <w:position w:val="1"/>
          <w:lang w:val="en-CA"/>
        </w:rPr>
        <w:t xml:space="preserve"> </w:t>
      </w:r>
      <w:r w:rsidRPr="00311D1E">
        <w:rPr>
          <w:bCs/>
          <w:position w:val="1"/>
          <w:lang w:val="en-CA"/>
        </w:rPr>
        <w:t>number</w:t>
      </w:r>
      <w:r w:rsidRPr="00311D1E">
        <w:rPr>
          <w:bCs/>
          <w:spacing w:val="12"/>
          <w:position w:val="1"/>
          <w:lang w:val="en-CA"/>
        </w:rPr>
        <w:t xml:space="preserve"> </w:t>
      </w:r>
      <w:r w:rsidRPr="00311D1E">
        <w:rPr>
          <w:bCs/>
          <w:position w:val="1"/>
          <w:lang w:val="en-CA"/>
        </w:rPr>
        <w:t>of</w:t>
      </w:r>
      <w:r w:rsidRPr="00311D1E">
        <w:rPr>
          <w:bCs/>
          <w:spacing w:val="10"/>
          <w:position w:val="1"/>
          <w:lang w:val="en-CA"/>
        </w:rPr>
        <w:t xml:space="preserve"> </w:t>
      </w:r>
      <w:r w:rsidRPr="00311D1E">
        <w:rPr>
          <w:bCs/>
          <w:position w:val="1"/>
          <w:lang w:val="en-CA"/>
        </w:rPr>
        <w:t>hig</w:t>
      </w:r>
      <w:r w:rsidRPr="00311D1E">
        <w:rPr>
          <w:bCs/>
          <w:spacing w:val="1"/>
          <w:position w:val="1"/>
          <w:lang w:val="en-CA"/>
        </w:rPr>
        <w:t>h</w:t>
      </w:r>
      <w:r w:rsidRPr="00311D1E">
        <w:rPr>
          <w:bCs/>
          <w:spacing w:val="6"/>
          <w:position w:val="1"/>
          <w:lang w:val="en-CA"/>
        </w:rPr>
        <w:t>-</w:t>
      </w:r>
      <w:r w:rsidRPr="00311D1E">
        <w:rPr>
          <w:bCs/>
          <w:position w:val="1"/>
          <w:lang w:val="en-CA"/>
        </w:rPr>
        <w:t>quality</w:t>
      </w:r>
      <w:r w:rsidRPr="00311D1E">
        <w:rPr>
          <w:bCs/>
          <w:spacing w:val="19"/>
          <w:position w:val="1"/>
          <w:lang w:val="en-CA"/>
        </w:rPr>
        <w:t xml:space="preserve"> </w:t>
      </w:r>
      <w:r w:rsidRPr="00311D1E">
        <w:rPr>
          <w:bCs/>
          <w:position w:val="1"/>
          <w:lang w:val="en-CA"/>
        </w:rPr>
        <w:t>applications received</w:t>
      </w:r>
      <w:r w:rsidRPr="00311D1E">
        <w:rPr>
          <w:bCs/>
          <w:spacing w:val="26"/>
          <w:position w:val="1"/>
          <w:lang w:val="en-CA"/>
        </w:rPr>
        <w:t>,</w:t>
      </w:r>
      <w:r w:rsidRPr="00311D1E">
        <w:rPr>
          <w:bCs/>
          <w:spacing w:val="25"/>
          <w:position w:val="1"/>
          <w:lang w:val="en-CA"/>
        </w:rPr>
        <w:t xml:space="preserve"> </w:t>
      </w:r>
      <w:r w:rsidRPr="00311D1E">
        <w:rPr>
          <w:bCs/>
          <w:position w:val="1"/>
          <w:lang w:val="en-CA"/>
        </w:rPr>
        <w:t>the ARB</w:t>
      </w:r>
      <w:r w:rsidRPr="00311D1E">
        <w:rPr>
          <w:bCs/>
          <w:spacing w:val="8"/>
          <w:position w:val="1"/>
          <w:lang w:val="en-CA"/>
        </w:rPr>
        <w:t xml:space="preserve"> may be</w:t>
      </w:r>
      <w:r w:rsidRPr="00311D1E">
        <w:rPr>
          <w:bCs/>
          <w:spacing w:val="12"/>
          <w:position w:val="1"/>
          <w:lang w:val="en-CA"/>
        </w:rPr>
        <w:t xml:space="preserve"> </w:t>
      </w:r>
      <w:r w:rsidRPr="00311D1E">
        <w:rPr>
          <w:bCs/>
          <w:position w:val="1"/>
          <w:lang w:val="en-CA"/>
        </w:rPr>
        <w:t>unable</w:t>
      </w:r>
      <w:r w:rsidRPr="00311D1E">
        <w:rPr>
          <w:bCs/>
          <w:spacing w:val="20"/>
          <w:position w:val="1"/>
          <w:lang w:val="en-CA"/>
        </w:rPr>
        <w:t xml:space="preserve"> </w:t>
      </w:r>
      <w:r w:rsidRPr="00311D1E">
        <w:rPr>
          <w:bCs/>
          <w:position w:val="1"/>
          <w:lang w:val="en-CA"/>
        </w:rPr>
        <w:t>to</w:t>
      </w:r>
      <w:r w:rsidRPr="00311D1E">
        <w:rPr>
          <w:bCs/>
          <w:spacing w:val="3"/>
          <w:position w:val="1"/>
          <w:lang w:val="en-CA"/>
        </w:rPr>
        <w:t xml:space="preserve"> </w:t>
      </w:r>
      <w:r w:rsidRPr="00311D1E">
        <w:rPr>
          <w:bCs/>
          <w:position w:val="1"/>
          <w:lang w:val="en-CA"/>
        </w:rPr>
        <w:t>fund</w:t>
      </w:r>
      <w:r w:rsidRPr="00311D1E">
        <w:rPr>
          <w:bCs/>
          <w:spacing w:val="5"/>
          <w:position w:val="1"/>
          <w:lang w:val="en-CA"/>
        </w:rPr>
        <w:t xml:space="preserve"> </w:t>
      </w:r>
      <w:r w:rsidRPr="00311D1E">
        <w:rPr>
          <w:bCs/>
          <w:position w:val="1"/>
          <w:lang w:val="en-CA"/>
        </w:rPr>
        <w:t xml:space="preserve">all </w:t>
      </w:r>
      <w:r w:rsidRPr="00311D1E">
        <w:rPr>
          <w:bCs/>
          <w:lang w:val="en-CA"/>
        </w:rPr>
        <w:t>applications</w:t>
      </w:r>
      <w:r w:rsidRPr="00311D1E">
        <w:rPr>
          <w:bCs/>
          <w:spacing w:val="26"/>
          <w:lang w:val="en-CA"/>
        </w:rPr>
        <w:t xml:space="preserve"> </w:t>
      </w:r>
      <w:r w:rsidRPr="00311D1E">
        <w:rPr>
          <w:bCs/>
          <w:lang w:val="en-CA"/>
        </w:rPr>
        <w:t>at</w:t>
      </w:r>
      <w:r w:rsidRPr="00311D1E">
        <w:rPr>
          <w:bCs/>
          <w:spacing w:val="-1"/>
          <w:lang w:val="en-CA"/>
        </w:rPr>
        <w:t xml:space="preserve"> </w:t>
      </w:r>
      <w:r w:rsidRPr="00311D1E">
        <w:rPr>
          <w:bCs/>
          <w:lang w:val="en-CA"/>
        </w:rPr>
        <w:t>the</w:t>
      </w:r>
      <w:r w:rsidRPr="00311D1E">
        <w:rPr>
          <w:bCs/>
          <w:spacing w:val="14"/>
          <w:lang w:val="en-CA"/>
        </w:rPr>
        <w:t xml:space="preserve"> </w:t>
      </w:r>
      <w:r w:rsidRPr="00311D1E">
        <w:rPr>
          <w:bCs/>
          <w:lang w:val="en-CA"/>
        </w:rPr>
        <w:t>level</w:t>
      </w:r>
      <w:r w:rsidRPr="00311D1E">
        <w:rPr>
          <w:bCs/>
          <w:spacing w:val="18"/>
          <w:lang w:val="en-CA"/>
        </w:rPr>
        <w:t xml:space="preserve"> </w:t>
      </w:r>
      <w:r w:rsidRPr="00311D1E">
        <w:rPr>
          <w:bCs/>
          <w:lang w:val="en-CA"/>
        </w:rPr>
        <w:t>requested. </w:t>
      </w:r>
    </w:p>
    <w:p w14:paraId="0696BAE4" w14:textId="77777777" w:rsidR="00856F1C" w:rsidRPr="00311D1E" w:rsidRDefault="00856F1C" w:rsidP="00DC27E8">
      <w:pPr>
        <w:spacing w:after="0" w:line="240" w:lineRule="auto"/>
        <w:ind w:left="284"/>
      </w:pPr>
    </w:p>
    <w:p w14:paraId="5F8C6404" w14:textId="77777777" w:rsidR="00331262" w:rsidRPr="00311D1E" w:rsidRDefault="00331262" w:rsidP="00331262">
      <w:pPr>
        <w:spacing w:after="0" w:line="240" w:lineRule="auto"/>
        <w:ind w:left="284"/>
        <w:rPr>
          <w:b/>
          <w:color w:val="7A0000"/>
          <w:u w:val="single"/>
        </w:rPr>
      </w:pPr>
      <w:r w:rsidRPr="00311D1E">
        <w:rPr>
          <w:b/>
          <w:color w:val="7A0000"/>
          <w:u w:val="single"/>
        </w:rPr>
        <w:t>Competition Dates</w:t>
      </w:r>
    </w:p>
    <w:p w14:paraId="27E5C738" w14:textId="56BAB40E" w:rsidR="00A82802" w:rsidRPr="00311D1E" w:rsidRDefault="00A82802" w:rsidP="00DC27E8">
      <w:pPr>
        <w:spacing w:after="0" w:line="240" w:lineRule="auto"/>
        <w:ind w:left="284"/>
      </w:pPr>
      <w:r w:rsidRPr="00311D1E">
        <w:t>SSHRC Exchange</w:t>
      </w:r>
      <w:r w:rsidR="009E2877" w:rsidRPr="00311D1E">
        <w:t xml:space="preserve"> - </w:t>
      </w:r>
      <w:r w:rsidRPr="00311D1E">
        <w:t>Conference Attendance &amp; Representational Activities Grant</w:t>
      </w:r>
      <w:r w:rsidRPr="00311D1E">
        <w:rPr>
          <w:b/>
        </w:rPr>
        <w:t xml:space="preserve"> </w:t>
      </w:r>
      <w:r w:rsidRPr="00311D1E">
        <w:t>competitions are held each Spring and Fall with deadlines of March 31 and October 31.</w:t>
      </w:r>
    </w:p>
    <w:p w14:paraId="35187A0C" w14:textId="77777777" w:rsidR="00C442BC" w:rsidRPr="00311D1E" w:rsidRDefault="00C442BC" w:rsidP="00C442BC">
      <w:pPr>
        <w:pStyle w:val="Heading3"/>
        <w:ind w:firstLine="284"/>
        <w:rPr>
          <w:rFonts w:asciiTheme="minorHAnsi" w:hAnsiTheme="minorHAnsi"/>
          <w:color w:val="7A0000"/>
          <w:u w:val="single"/>
        </w:rPr>
      </w:pPr>
      <w:r w:rsidRPr="00311D1E">
        <w:rPr>
          <w:rFonts w:asciiTheme="minorHAnsi" w:hAnsiTheme="minorHAnsi"/>
          <w:color w:val="7A0000"/>
          <w:u w:val="single"/>
        </w:rPr>
        <w:t>Application Process</w:t>
      </w:r>
    </w:p>
    <w:p w14:paraId="070EFBE0" w14:textId="77777777" w:rsidR="00BB2581" w:rsidRPr="00311D1E" w:rsidRDefault="00C442BC" w:rsidP="00BB2581">
      <w:pPr>
        <w:spacing w:after="0" w:line="240" w:lineRule="auto"/>
        <w:ind w:left="284"/>
      </w:pPr>
      <w:r w:rsidRPr="00311D1E">
        <w:t xml:space="preserve">By the application deadline, the documents </w:t>
      </w:r>
      <w:r w:rsidR="00752F53" w:rsidRPr="00311D1E">
        <w:t xml:space="preserve">below </w:t>
      </w:r>
      <w:r w:rsidRPr="00311D1E">
        <w:t>must be submitted to ROADS</w:t>
      </w:r>
      <w:r w:rsidR="00752F53" w:rsidRPr="00311D1E">
        <w:t xml:space="preserve"> as </w:t>
      </w:r>
      <w:r w:rsidRPr="00311D1E">
        <w:t>one signed pa</w:t>
      </w:r>
      <w:r w:rsidR="00BB2581" w:rsidRPr="00311D1E">
        <w:t xml:space="preserve">per copy OR one electronic copy.  </w:t>
      </w:r>
    </w:p>
    <w:p w14:paraId="64E167DC" w14:textId="77777777" w:rsidR="00BB2581" w:rsidRPr="00311D1E" w:rsidRDefault="00BB2581" w:rsidP="00BB2581">
      <w:pPr>
        <w:spacing w:after="0" w:line="240" w:lineRule="auto"/>
        <w:ind w:left="284"/>
      </w:pPr>
    </w:p>
    <w:p w14:paraId="365A588F" w14:textId="42957C63" w:rsidR="002F3329" w:rsidRPr="00311D1E" w:rsidRDefault="000131EF" w:rsidP="00BB2581">
      <w:pPr>
        <w:spacing w:after="0" w:line="240" w:lineRule="auto"/>
        <w:ind w:left="284"/>
      </w:pPr>
      <w:r w:rsidRPr="00311D1E">
        <w:t xml:space="preserve">A complete </w:t>
      </w:r>
      <w:r w:rsidR="00FE63AD" w:rsidRPr="00311D1E">
        <w:t xml:space="preserve">SSHRC Exchange </w:t>
      </w:r>
      <w:r w:rsidR="009E2877" w:rsidRPr="00311D1E">
        <w:t xml:space="preserve">- </w:t>
      </w:r>
      <w:r w:rsidR="00FE63AD" w:rsidRPr="00311D1E">
        <w:t xml:space="preserve">Conference Attendance &amp; Representational Activities Grant </w:t>
      </w:r>
      <w:r w:rsidRPr="00311D1E">
        <w:t>application consists of:</w:t>
      </w:r>
    </w:p>
    <w:p w14:paraId="43044688" w14:textId="6B365A23" w:rsidR="000131EF" w:rsidRPr="00311D1E" w:rsidRDefault="000131EF" w:rsidP="00DC27E8">
      <w:pPr>
        <w:pStyle w:val="ListParagraph"/>
        <w:numPr>
          <w:ilvl w:val="0"/>
          <w:numId w:val="32"/>
        </w:numPr>
        <w:spacing w:after="0" w:line="240" w:lineRule="auto"/>
      </w:pPr>
      <w:r w:rsidRPr="00311D1E">
        <w:t>ARB Application Form</w:t>
      </w:r>
      <w:r w:rsidRPr="00C25FAE">
        <w:t>;</w:t>
      </w:r>
      <w:r w:rsidRPr="00311D1E">
        <w:t xml:space="preserve"> and</w:t>
      </w:r>
    </w:p>
    <w:p w14:paraId="1612AE6B" w14:textId="77777777" w:rsidR="000131EF" w:rsidRPr="00311D1E" w:rsidRDefault="000131EF" w:rsidP="00394FF8">
      <w:pPr>
        <w:pStyle w:val="ListParagraph"/>
        <w:numPr>
          <w:ilvl w:val="0"/>
          <w:numId w:val="32"/>
        </w:numPr>
        <w:spacing w:after="0" w:line="240" w:lineRule="auto"/>
      </w:pPr>
      <w:r w:rsidRPr="00311D1E">
        <w:t xml:space="preserve">Supporting Documentation: </w:t>
      </w:r>
      <w:r w:rsidRPr="00311D1E">
        <w:tab/>
      </w:r>
    </w:p>
    <w:p w14:paraId="65B9FEA2" w14:textId="77777777" w:rsidR="000131EF" w:rsidRPr="00311D1E" w:rsidRDefault="00FE63AD" w:rsidP="00EA730D">
      <w:pPr>
        <w:numPr>
          <w:ilvl w:val="1"/>
          <w:numId w:val="34"/>
        </w:numPr>
        <w:spacing w:after="0" w:line="240" w:lineRule="auto"/>
        <w:ind w:left="1276" w:hanging="425"/>
        <w:rPr>
          <w:bCs/>
        </w:rPr>
      </w:pPr>
      <w:r w:rsidRPr="00311D1E">
        <w:rPr>
          <w:bCs/>
        </w:rPr>
        <w:t>b</w:t>
      </w:r>
      <w:r w:rsidR="000131EF" w:rsidRPr="00311D1E">
        <w:rPr>
          <w:bCs/>
        </w:rPr>
        <w:t xml:space="preserve">udget Justification (maximum 1 page); </w:t>
      </w:r>
    </w:p>
    <w:p w14:paraId="2B6A7CCC" w14:textId="77777777" w:rsidR="000131EF" w:rsidRPr="00311D1E" w:rsidRDefault="000131EF" w:rsidP="00EA730D">
      <w:pPr>
        <w:numPr>
          <w:ilvl w:val="1"/>
          <w:numId w:val="34"/>
        </w:numPr>
        <w:spacing w:after="0" w:line="240" w:lineRule="auto"/>
        <w:ind w:left="1276" w:hanging="425"/>
        <w:rPr>
          <w:bCs/>
        </w:rPr>
      </w:pPr>
      <w:r w:rsidRPr="00311D1E">
        <w:rPr>
          <w:bCs/>
        </w:rPr>
        <w:t>an explanation of the scholarly reputation and significance of the meeting and sponsoring organization (maximum 1 page);</w:t>
      </w:r>
    </w:p>
    <w:p w14:paraId="2F425FD3" w14:textId="21979E8B" w:rsidR="000131EF" w:rsidRPr="00311D1E" w:rsidRDefault="000131EF" w:rsidP="00EA730D">
      <w:pPr>
        <w:pStyle w:val="ListParagraph"/>
        <w:numPr>
          <w:ilvl w:val="1"/>
          <w:numId w:val="34"/>
        </w:numPr>
        <w:spacing w:after="0" w:line="240" w:lineRule="auto"/>
        <w:ind w:left="1276" w:hanging="425"/>
        <w:rPr>
          <w:bCs/>
        </w:rPr>
      </w:pPr>
      <w:r w:rsidRPr="00311D1E">
        <w:rPr>
          <w:bCs/>
        </w:rPr>
        <w:lastRenderedPageBreak/>
        <w:t>an explanation of how your attendance at this meeting will contribute to your research career (maximum 1 page)</w:t>
      </w:r>
      <w:r w:rsidR="007171E1" w:rsidRPr="00311D1E">
        <w:rPr>
          <w:bCs/>
        </w:rPr>
        <w:t>;</w:t>
      </w:r>
    </w:p>
    <w:p w14:paraId="2062E098" w14:textId="50AA0520" w:rsidR="00752F53" w:rsidRPr="00311D1E" w:rsidRDefault="00752F53" w:rsidP="00EA730D">
      <w:pPr>
        <w:pStyle w:val="ListParagraph"/>
        <w:numPr>
          <w:ilvl w:val="1"/>
          <w:numId w:val="34"/>
        </w:numPr>
        <w:spacing w:after="0" w:line="240" w:lineRule="auto"/>
        <w:ind w:left="1276" w:hanging="425"/>
        <w:rPr>
          <w:bCs/>
        </w:rPr>
      </w:pPr>
      <w:r w:rsidRPr="00311D1E">
        <w:rPr>
          <w:bCs/>
        </w:rPr>
        <w:t xml:space="preserve">one paper </w:t>
      </w:r>
      <w:r w:rsidR="000131EF" w:rsidRPr="00311D1E">
        <w:rPr>
          <w:bCs/>
        </w:rPr>
        <w:t xml:space="preserve">copy </w:t>
      </w:r>
      <w:r w:rsidRPr="00311D1E">
        <w:rPr>
          <w:bCs/>
        </w:rPr>
        <w:t xml:space="preserve">or electronic copy of the </w:t>
      </w:r>
      <w:r w:rsidR="000131EF" w:rsidRPr="00311D1E">
        <w:rPr>
          <w:bCs/>
        </w:rPr>
        <w:t>abstract of the paper or work being presented</w:t>
      </w:r>
      <w:r w:rsidR="007171E1" w:rsidRPr="00311D1E">
        <w:rPr>
          <w:bCs/>
        </w:rPr>
        <w:t>;</w:t>
      </w:r>
    </w:p>
    <w:p w14:paraId="0C4EF0E0" w14:textId="76C1381D" w:rsidR="000131EF" w:rsidRPr="00311D1E" w:rsidRDefault="00752F53" w:rsidP="00EA730D">
      <w:pPr>
        <w:pStyle w:val="ListParagraph"/>
        <w:numPr>
          <w:ilvl w:val="1"/>
          <w:numId w:val="34"/>
        </w:numPr>
        <w:spacing w:after="0" w:line="240" w:lineRule="auto"/>
        <w:ind w:left="1276" w:hanging="425"/>
        <w:rPr>
          <w:bCs/>
        </w:rPr>
      </w:pPr>
      <w:r w:rsidRPr="00311D1E">
        <w:rPr>
          <w:bCs/>
        </w:rPr>
        <w:t>One paper copy of electronic c</w:t>
      </w:r>
      <w:r w:rsidR="000131EF" w:rsidRPr="00311D1E">
        <w:rPr>
          <w:bCs/>
        </w:rPr>
        <w:t xml:space="preserve">opy of the </w:t>
      </w:r>
      <w:r w:rsidRPr="00311D1E">
        <w:rPr>
          <w:bCs/>
        </w:rPr>
        <w:t xml:space="preserve">confirmation or </w:t>
      </w:r>
      <w:r w:rsidR="000131EF" w:rsidRPr="00311D1E">
        <w:rPr>
          <w:bCs/>
        </w:rPr>
        <w:t>acceptance</w:t>
      </w:r>
      <w:r w:rsidRPr="00311D1E">
        <w:rPr>
          <w:bCs/>
        </w:rPr>
        <w:t xml:space="preserve"> of paper </w:t>
      </w:r>
      <w:r w:rsidR="000131EF" w:rsidRPr="00311D1E">
        <w:rPr>
          <w:bCs/>
        </w:rPr>
        <w:t>or</w:t>
      </w:r>
      <w:r w:rsidRPr="00311D1E">
        <w:rPr>
          <w:bCs/>
        </w:rPr>
        <w:t xml:space="preserve"> an</w:t>
      </w:r>
      <w:r w:rsidR="000131EF" w:rsidRPr="00311D1E">
        <w:rPr>
          <w:bCs/>
        </w:rPr>
        <w:t xml:space="preserve"> invitation to present at the conference</w:t>
      </w:r>
      <w:r w:rsidR="007171E1" w:rsidRPr="00311D1E">
        <w:rPr>
          <w:bCs/>
        </w:rPr>
        <w:t>.</w:t>
      </w:r>
    </w:p>
    <w:bookmarkStart w:id="2" w:name="_Hlk140145256"/>
    <w:bookmarkStart w:id="3" w:name="_Hlk124944822"/>
    <w:p w14:paraId="395E21E8" w14:textId="77777777" w:rsidR="00DB3E6A" w:rsidRPr="00DB3E6A" w:rsidRDefault="00DB3E6A" w:rsidP="00DB3E6A">
      <w:pPr>
        <w:pStyle w:val="ListParagraph"/>
        <w:numPr>
          <w:ilvl w:val="0"/>
          <w:numId w:val="32"/>
        </w:numPr>
        <w:tabs>
          <w:tab w:val="right" w:pos="720"/>
        </w:tabs>
        <w:spacing w:after="0" w:line="240" w:lineRule="auto"/>
        <w:rPr>
          <w:rFonts w:ascii="Garamond" w:hAnsi="Garamond"/>
          <w:bCs/>
          <w:color w:val="0070C0"/>
        </w:rPr>
      </w:pPr>
      <w:r w:rsidRPr="00DB3E6A">
        <w:rPr>
          <w:rFonts w:ascii="Garamond" w:hAnsi="Garamond"/>
          <w:bCs/>
          <w:color w:val="0070C0"/>
        </w:rPr>
        <w:fldChar w:fldCharType="begin"/>
      </w:r>
      <w:r w:rsidRPr="00DB3E6A">
        <w:rPr>
          <w:rFonts w:ascii="Garamond" w:hAnsi="Garamond"/>
          <w:bCs/>
          <w:color w:val="0070C0"/>
        </w:rPr>
        <w:instrText xml:space="preserve"> HYPERLINK "https://www.sshrc-crsh.gc.ca/funding-financement/instructions/cv-eng.aspx" </w:instrText>
      </w:r>
      <w:r w:rsidRPr="00DB3E6A">
        <w:rPr>
          <w:rFonts w:ascii="Garamond" w:hAnsi="Garamond"/>
          <w:bCs/>
          <w:color w:val="0070C0"/>
        </w:rPr>
      </w:r>
      <w:r w:rsidRPr="00DB3E6A">
        <w:rPr>
          <w:rFonts w:ascii="Garamond" w:hAnsi="Garamond"/>
          <w:bCs/>
          <w:color w:val="0070C0"/>
        </w:rPr>
        <w:fldChar w:fldCharType="separate"/>
      </w:r>
      <w:r w:rsidRPr="00DB3E6A">
        <w:rPr>
          <w:rStyle w:val="Hyperlink"/>
          <w:rFonts w:ascii="Garamond" w:hAnsi="Garamond"/>
          <w:bCs/>
          <w:color w:val="0070C0"/>
        </w:rPr>
        <w:t>SSHRC CV</w:t>
      </w:r>
      <w:r w:rsidRPr="00DB3E6A">
        <w:rPr>
          <w:rFonts w:ascii="Garamond" w:hAnsi="Garamond"/>
          <w:bCs/>
          <w:color w:val="0070C0"/>
        </w:rPr>
        <w:fldChar w:fldCharType="end"/>
      </w:r>
      <w:bookmarkStart w:id="4" w:name="_Hlk124950029"/>
      <w:r w:rsidRPr="00DB3E6A">
        <w:rPr>
          <w:rFonts w:ascii="Garamond" w:hAnsi="Garamond"/>
          <w:bCs/>
          <w:color w:val="0070C0"/>
        </w:rPr>
        <w:t xml:space="preserve"> and </w:t>
      </w:r>
      <w:hyperlink r:id="rId10" w:anchor="contributions" w:history="1">
        <w:r w:rsidRPr="00DB3E6A">
          <w:rPr>
            <w:rStyle w:val="Hyperlink"/>
            <w:rFonts w:ascii="Garamond" w:hAnsi="Garamond"/>
            <w:color w:val="0070C0"/>
          </w:rPr>
          <w:t>SSHRC Relevant Research Contributions</w:t>
        </w:r>
      </w:hyperlink>
      <w:bookmarkEnd w:id="2"/>
      <w:r w:rsidRPr="00DB3E6A">
        <w:rPr>
          <w:rFonts w:ascii="Garamond" w:hAnsi="Garamond"/>
          <w:i/>
          <w:iCs/>
          <w:color w:val="0070C0"/>
        </w:rPr>
        <w:t xml:space="preserve"> </w:t>
      </w:r>
      <w:bookmarkEnd w:id="3"/>
      <w:bookmarkEnd w:id="4"/>
      <w:r w:rsidRPr="00DB3E6A">
        <w:rPr>
          <w:rFonts w:ascii="Garamond" w:hAnsi="Garamond"/>
          <w:bCs/>
          <w:color w:val="0070C0"/>
        </w:rPr>
        <w:t xml:space="preserve">or </w:t>
      </w:r>
      <w:hyperlink r:id="rId11" w:history="1">
        <w:r w:rsidRPr="00DB3E6A">
          <w:rPr>
            <w:rStyle w:val="Hyperlink"/>
            <w:rFonts w:ascii="Garamond" w:hAnsi="Garamond"/>
            <w:bCs/>
            <w:color w:val="0070C0"/>
          </w:rPr>
          <w:t>Common CV (CCV)</w:t>
        </w:r>
      </w:hyperlink>
    </w:p>
    <w:p w14:paraId="17854D19" w14:textId="77777777" w:rsidR="000131EF" w:rsidRPr="00311D1E" w:rsidRDefault="000131EF" w:rsidP="00394FF8">
      <w:pPr>
        <w:pStyle w:val="ListParagraph"/>
        <w:numPr>
          <w:ilvl w:val="0"/>
          <w:numId w:val="32"/>
        </w:numPr>
        <w:tabs>
          <w:tab w:val="right" w:pos="720"/>
        </w:tabs>
        <w:spacing w:after="0" w:line="240" w:lineRule="auto"/>
        <w:rPr>
          <w:bCs/>
        </w:rPr>
      </w:pPr>
      <w:r w:rsidRPr="00311D1E">
        <w:rPr>
          <w:bCs/>
        </w:rPr>
        <w:t>Additional documents:</w:t>
      </w:r>
    </w:p>
    <w:p w14:paraId="6FEB7D3D" w14:textId="77777777" w:rsidR="000131EF" w:rsidRPr="00311D1E" w:rsidRDefault="000131EF" w:rsidP="00EA730D">
      <w:pPr>
        <w:pStyle w:val="ListParagraph"/>
        <w:numPr>
          <w:ilvl w:val="1"/>
          <w:numId w:val="36"/>
        </w:numPr>
        <w:tabs>
          <w:tab w:val="right" w:pos="720"/>
        </w:tabs>
        <w:spacing w:after="0" w:line="240" w:lineRule="auto"/>
        <w:ind w:left="1276" w:hanging="425"/>
        <w:rPr>
          <w:rStyle w:val="Emphasis"/>
          <w:rFonts w:eastAsiaTheme="majorEastAsia" w:cstheme="majorBidi"/>
          <w:b/>
          <w:bCs/>
          <w:i w:val="0"/>
          <w:iCs w:val="0"/>
          <w:color w:val="6F6F74" w:themeColor="accent1"/>
        </w:rPr>
      </w:pPr>
      <w:r w:rsidRPr="00311D1E">
        <w:rPr>
          <w:rStyle w:val="Emphasis"/>
          <w:i w:val="0"/>
        </w:rPr>
        <w:t xml:space="preserve">Applications from </w:t>
      </w:r>
      <w:r w:rsidRPr="00311D1E">
        <w:rPr>
          <w:rStyle w:val="Emphasis"/>
          <w:b/>
          <w:i w:val="0"/>
        </w:rPr>
        <w:t>postdoctoral fellows</w:t>
      </w:r>
      <w:r w:rsidRPr="00311D1E">
        <w:rPr>
          <w:rStyle w:val="Emphasis"/>
          <w:i w:val="0"/>
        </w:rPr>
        <w:t xml:space="preserve"> must also include a letter of support (maximum one page) from their supervisors.</w:t>
      </w:r>
    </w:p>
    <w:p w14:paraId="3830801A" w14:textId="77777777" w:rsidR="000131EF" w:rsidRPr="00311D1E" w:rsidRDefault="000131EF" w:rsidP="00EA730D">
      <w:pPr>
        <w:pStyle w:val="ListParagraph"/>
        <w:numPr>
          <w:ilvl w:val="1"/>
          <w:numId w:val="36"/>
        </w:numPr>
        <w:tabs>
          <w:tab w:val="right" w:pos="720"/>
        </w:tabs>
        <w:spacing w:after="0" w:line="240" w:lineRule="auto"/>
        <w:ind w:left="1276" w:hanging="425"/>
        <w:rPr>
          <w:bCs/>
        </w:rPr>
      </w:pPr>
      <w:r w:rsidRPr="00311D1E">
        <w:t xml:space="preserve">Applications from scholars holding </w:t>
      </w:r>
      <w:proofErr w:type="gramStart"/>
      <w:r w:rsidRPr="00311D1E">
        <w:rPr>
          <w:b/>
        </w:rPr>
        <w:t>contractually-limited</w:t>
      </w:r>
      <w:proofErr w:type="gramEnd"/>
      <w:r w:rsidRPr="00311D1E">
        <w:rPr>
          <w:b/>
        </w:rPr>
        <w:t xml:space="preserve"> appointments</w:t>
      </w:r>
      <w:r w:rsidRPr="00311D1E">
        <w:t xml:space="preserve"> and/or </w:t>
      </w:r>
      <w:r w:rsidRPr="00311D1E">
        <w:rPr>
          <w:b/>
        </w:rPr>
        <w:t>postdoctoral fellows</w:t>
      </w:r>
      <w:r w:rsidRPr="00311D1E">
        <w:t xml:space="preserve"> must include a work</w:t>
      </w:r>
      <w:r w:rsidR="00AF78AD" w:rsidRPr="00311D1E">
        <w:t xml:space="preserve"> </w:t>
      </w:r>
      <w:r w:rsidRPr="00311D1E">
        <w:t>plan (maximum one page) to demonstrate that the activities for which they are requesting funding will be completed before their appointment ends.</w:t>
      </w:r>
    </w:p>
    <w:p w14:paraId="37AF3180" w14:textId="3F1A7BBC" w:rsidR="00FB7F45" w:rsidRPr="00311D1E" w:rsidRDefault="00FB7F45" w:rsidP="00EA730D">
      <w:pPr>
        <w:pStyle w:val="ListParagraph"/>
        <w:numPr>
          <w:ilvl w:val="1"/>
          <w:numId w:val="36"/>
        </w:numPr>
        <w:tabs>
          <w:tab w:val="right" w:pos="720"/>
        </w:tabs>
        <w:spacing w:after="0" w:line="240" w:lineRule="auto"/>
        <w:ind w:left="1276" w:hanging="425"/>
        <w:rPr>
          <w:bCs/>
        </w:rPr>
      </w:pPr>
      <w:r w:rsidRPr="00311D1E">
        <w:rPr>
          <w:bCs/>
        </w:rPr>
        <w:t xml:space="preserve">Postdoctoral fellows must obtain both the chair and the </w:t>
      </w:r>
      <w:r w:rsidRPr="00D70B49">
        <w:rPr>
          <w:bCs/>
        </w:rPr>
        <w:t xml:space="preserve">dean’s </w:t>
      </w:r>
      <w:r w:rsidR="00AF0C6A" w:rsidRPr="00D70B49">
        <w:t xml:space="preserve">(or their delegate) </w:t>
      </w:r>
      <w:r w:rsidRPr="00D70B49">
        <w:rPr>
          <w:bCs/>
        </w:rPr>
        <w:t>signature</w:t>
      </w:r>
      <w:r w:rsidRPr="00311D1E">
        <w:rPr>
          <w:bCs/>
        </w:rPr>
        <w:t xml:space="preserve">. </w:t>
      </w:r>
    </w:p>
    <w:p w14:paraId="570ABCFC" w14:textId="77777777" w:rsidR="00510C2C" w:rsidRPr="00311D1E" w:rsidRDefault="00510C2C" w:rsidP="00510C2C">
      <w:pPr>
        <w:pStyle w:val="Heading3"/>
        <w:spacing w:before="0" w:line="240" w:lineRule="auto"/>
        <w:ind w:left="284"/>
        <w:rPr>
          <w:rFonts w:asciiTheme="minorHAnsi" w:hAnsiTheme="minorHAnsi"/>
          <w:color w:val="auto"/>
          <w:u w:val="single"/>
        </w:rPr>
      </w:pPr>
    </w:p>
    <w:p w14:paraId="5201064F" w14:textId="77777777" w:rsidR="00510C2C" w:rsidRPr="00311D1E" w:rsidRDefault="00394FF8" w:rsidP="00510C2C">
      <w:pPr>
        <w:pStyle w:val="Heading3"/>
        <w:spacing w:before="0" w:line="240" w:lineRule="auto"/>
        <w:ind w:left="284"/>
        <w:rPr>
          <w:rFonts w:asciiTheme="minorHAnsi" w:hAnsiTheme="minorHAnsi"/>
          <w:color w:val="7A0000"/>
          <w:u w:val="single"/>
        </w:rPr>
      </w:pPr>
      <w:r w:rsidRPr="00311D1E">
        <w:rPr>
          <w:rFonts w:asciiTheme="minorHAnsi" w:hAnsiTheme="minorHAnsi"/>
          <w:color w:val="7A0000"/>
          <w:u w:val="single"/>
        </w:rPr>
        <w:t>Eligible Expenditures</w:t>
      </w:r>
    </w:p>
    <w:p w14:paraId="0C5BDAB8" w14:textId="77777777" w:rsidR="009F7F9C" w:rsidRPr="00311D1E" w:rsidRDefault="00394FF8" w:rsidP="00277C92">
      <w:pPr>
        <w:spacing w:after="0" w:line="240" w:lineRule="auto"/>
        <w:ind w:left="284"/>
      </w:pPr>
      <w:r w:rsidRPr="00311D1E">
        <w:t>Funds awarded in a competition are exclusively for the conference applied for (conference named in application awarded) and cannot be used for another conference.  An expense report for Conference travel must be submitted within one year of the grant award.  Presenting a major exhibition of work at a national or international conference will also be supported but funding will be at the discretion of the Faculty Conference Sub-Committee.  Conference funding cannot be granted only for conference attendance.</w:t>
      </w:r>
    </w:p>
    <w:p w14:paraId="3AE28C67" w14:textId="77777777" w:rsidR="009F7F9C" w:rsidRPr="00311D1E" w:rsidRDefault="009F7F9C" w:rsidP="009F7F9C">
      <w:pPr>
        <w:spacing w:after="0" w:line="240" w:lineRule="auto"/>
        <w:ind w:left="426"/>
      </w:pPr>
    </w:p>
    <w:p w14:paraId="75DE9DBA" w14:textId="4CAB81EB" w:rsidR="007128BA" w:rsidRDefault="009F7F9C" w:rsidP="00BC3331">
      <w:pPr>
        <w:spacing w:after="0" w:line="240" w:lineRule="auto"/>
        <w:ind w:left="284"/>
      </w:pPr>
      <w:r w:rsidRPr="00311D1E">
        <w:rPr>
          <w:b/>
        </w:rPr>
        <w:t>For complete details of Eligible Expenditures, see McMaster’s</w:t>
      </w:r>
      <w:r w:rsidRPr="00311D1E">
        <w:rPr>
          <w:b/>
          <w:color w:val="0070C0"/>
        </w:rPr>
        <w:t xml:space="preserve"> </w:t>
      </w:r>
      <w:hyperlink r:id="rId12" w:history="1">
        <w:r w:rsidR="00110707" w:rsidRPr="00110707">
          <w:rPr>
            <w:color w:val="0000FF"/>
            <w:u w:val="single"/>
          </w:rPr>
          <w:t>AP-01-Guidelines-Temp-for-RP-with-formatting-Apr-15-2024.pdf (mcmaster.ca)</w:t>
        </w:r>
      </w:hyperlink>
    </w:p>
    <w:p w14:paraId="19B16A12" w14:textId="77777777" w:rsidR="00110707" w:rsidRPr="00311D1E" w:rsidRDefault="00110707" w:rsidP="00BC3331">
      <w:pPr>
        <w:spacing w:after="0" w:line="240" w:lineRule="auto"/>
        <w:ind w:left="284"/>
        <w:rPr>
          <w:b/>
          <w:i/>
          <w:iCs/>
          <w:color w:val="006FC0"/>
        </w:rPr>
      </w:pPr>
    </w:p>
    <w:p w14:paraId="62139B8B" w14:textId="77777777" w:rsidR="00394FF8" w:rsidRPr="00311D1E" w:rsidRDefault="00394FF8" w:rsidP="001205E6">
      <w:pPr>
        <w:spacing w:after="0" w:line="240" w:lineRule="auto"/>
        <w:ind w:left="720"/>
        <w:rPr>
          <w:b/>
          <w:color w:val="6C1D45"/>
        </w:rPr>
      </w:pPr>
      <w:r w:rsidRPr="00311D1E">
        <w:rPr>
          <w:b/>
          <w:color w:val="6C1D45"/>
        </w:rPr>
        <w:t>Transportation</w:t>
      </w:r>
    </w:p>
    <w:p w14:paraId="2542FE89" w14:textId="77777777" w:rsidR="00394FF8" w:rsidRPr="00311D1E" w:rsidRDefault="00394FF8" w:rsidP="00EA730D">
      <w:pPr>
        <w:spacing w:after="0" w:line="240" w:lineRule="auto"/>
        <w:ind w:left="720"/>
      </w:pPr>
      <w:r w:rsidRPr="00311D1E">
        <w:t xml:space="preserve">Applicants are encouraged to use the most economical travel arrangements available and suitable to their requirements. ARB support is limited to economy-class air fare, comparable rail or car mileage, the latter based on the current University rate. Health insurance costs are not covered by the Board. </w:t>
      </w:r>
    </w:p>
    <w:p w14:paraId="162B9BD9" w14:textId="77777777" w:rsidR="0097632A" w:rsidRPr="00311D1E" w:rsidRDefault="0097632A" w:rsidP="00EA730D">
      <w:pPr>
        <w:spacing w:after="0" w:line="240" w:lineRule="auto"/>
        <w:ind w:left="720"/>
      </w:pPr>
    </w:p>
    <w:p w14:paraId="220691A6" w14:textId="77777777" w:rsidR="00394FF8" w:rsidRPr="00311D1E" w:rsidRDefault="00394FF8" w:rsidP="00DC27E8">
      <w:pPr>
        <w:pStyle w:val="Heading4"/>
        <w:spacing w:before="0" w:line="240" w:lineRule="auto"/>
        <w:ind w:left="720"/>
        <w:rPr>
          <w:rFonts w:asciiTheme="minorHAnsi" w:hAnsiTheme="minorHAnsi"/>
          <w:color w:val="6C1D45"/>
        </w:rPr>
      </w:pPr>
      <w:proofErr w:type="spellStart"/>
      <w:r w:rsidRPr="00311D1E">
        <w:rPr>
          <w:rFonts w:asciiTheme="minorHAnsi" w:hAnsiTheme="minorHAnsi"/>
          <w:color w:val="6C1D45"/>
        </w:rPr>
        <w:t>Kilometre</w:t>
      </w:r>
      <w:proofErr w:type="spellEnd"/>
      <w:r w:rsidRPr="00311D1E">
        <w:rPr>
          <w:rFonts w:asciiTheme="minorHAnsi" w:hAnsiTheme="minorHAnsi"/>
          <w:color w:val="6C1D45"/>
        </w:rPr>
        <w:t xml:space="preserve"> Rates </w:t>
      </w:r>
    </w:p>
    <w:p w14:paraId="710E6185" w14:textId="77777777" w:rsidR="00394FF8" w:rsidRPr="00311D1E" w:rsidRDefault="00394FF8" w:rsidP="00EA730D">
      <w:pPr>
        <w:spacing w:after="0" w:line="240" w:lineRule="auto"/>
        <w:ind w:left="720"/>
      </w:pPr>
      <w:r w:rsidRPr="00311D1E">
        <w:t xml:space="preserve">The following University rates are to be used: </w:t>
      </w:r>
    </w:p>
    <w:p w14:paraId="4FC031D0" w14:textId="559FBAFD" w:rsidR="00394FF8" w:rsidRPr="00311D1E" w:rsidRDefault="00394FF8" w:rsidP="00EA730D">
      <w:pPr>
        <w:pStyle w:val="ListParagraph"/>
        <w:numPr>
          <w:ilvl w:val="0"/>
          <w:numId w:val="24"/>
        </w:numPr>
        <w:spacing w:after="0" w:line="240" w:lineRule="auto"/>
        <w:ind w:left="1560" w:hanging="426"/>
      </w:pPr>
      <w:r w:rsidRPr="00311D1E">
        <w:t xml:space="preserve"> </w:t>
      </w:r>
      <w:r w:rsidR="00F471F7" w:rsidRPr="00311D1E">
        <w:t>6</w:t>
      </w:r>
      <w:r w:rsidR="00BE3235">
        <w:t>8</w:t>
      </w:r>
      <w:r w:rsidRPr="00311D1E">
        <w:t xml:space="preserve">¢ per </w:t>
      </w:r>
      <w:proofErr w:type="spellStart"/>
      <w:r w:rsidRPr="00311D1E">
        <w:t>kilometre</w:t>
      </w:r>
      <w:proofErr w:type="spellEnd"/>
      <w:r w:rsidRPr="00311D1E">
        <w:t xml:space="preserve"> for the first 5,000 </w:t>
      </w:r>
      <w:proofErr w:type="spellStart"/>
      <w:r w:rsidRPr="00311D1E">
        <w:t>kilometres</w:t>
      </w:r>
      <w:proofErr w:type="spellEnd"/>
      <w:r w:rsidRPr="00311D1E">
        <w:t xml:space="preserve"> driven; and</w:t>
      </w:r>
    </w:p>
    <w:p w14:paraId="1B43D434" w14:textId="35A68E4A" w:rsidR="00394FF8" w:rsidRPr="00311D1E" w:rsidRDefault="00394FF8" w:rsidP="00EA730D">
      <w:pPr>
        <w:pStyle w:val="ListParagraph"/>
        <w:numPr>
          <w:ilvl w:val="0"/>
          <w:numId w:val="24"/>
        </w:numPr>
        <w:spacing w:after="0" w:line="240" w:lineRule="auto"/>
        <w:ind w:left="1560" w:hanging="426"/>
      </w:pPr>
      <w:r w:rsidRPr="00311D1E">
        <w:t xml:space="preserve"> </w:t>
      </w:r>
      <w:r w:rsidR="00BE3235">
        <w:t>62</w:t>
      </w:r>
      <w:r w:rsidRPr="00311D1E">
        <w:t xml:space="preserve">¢ per </w:t>
      </w:r>
      <w:proofErr w:type="spellStart"/>
      <w:r w:rsidRPr="00311D1E">
        <w:t>kilometre</w:t>
      </w:r>
      <w:proofErr w:type="spellEnd"/>
      <w:r w:rsidRPr="00311D1E">
        <w:t xml:space="preserve"> driven after that.</w:t>
      </w:r>
    </w:p>
    <w:p w14:paraId="143087FD" w14:textId="77777777" w:rsidR="00394FF8" w:rsidRPr="00311D1E" w:rsidRDefault="00394FF8" w:rsidP="009F7F9C">
      <w:pPr>
        <w:pStyle w:val="Heading4"/>
        <w:spacing w:before="0" w:line="240" w:lineRule="auto"/>
        <w:rPr>
          <w:rFonts w:asciiTheme="minorHAnsi" w:hAnsiTheme="minorHAnsi"/>
          <w:b w:val="0"/>
          <w:color w:val="auto"/>
        </w:rPr>
      </w:pPr>
    </w:p>
    <w:p w14:paraId="24DDB81F" w14:textId="77777777" w:rsidR="00394FF8" w:rsidRPr="00311D1E" w:rsidRDefault="00394FF8" w:rsidP="00DC27E8">
      <w:pPr>
        <w:pStyle w:val="Heading4"/>
        <w:spacing w:before="0" w:line="240" w:lineRule="auto"/>
        <w:ind w:left="720"/>
        <w:rPr>
          <w:rFonts w:asciiTheme="minorHAnsi" w:hAnsiTheme="minorHAnsi"/>
          <w:color w:val="6C1D45"/>
        </w:rPr>
      </w:pPr>
      <w:r w:rsidRPr="00311D1E">
        <w:rPr>
          <w:rFonts w:asciiTheme="minorHAnsi" w:hAnsiTheme="minorHAnsi"/>
          <w:color w:val="6C1D45"/>
        </w:rPr>
        <w:t xml:space="preserve">Subsistence  </w:t>
      </w:r>
    </w:p>
    <w:p w14:paraId="68ED547A" w14:textId="77777777" w:rsidR="00394FF8" w:rsidRPr="00311D1E" w:rsidRDefault="00394FF8" w:rsidP="00EA730D">
      <w:pPr>
        <w:spacing w:after="0" w:line="240" w:lineRule="auto"/>
        <w:ind w:left="720"/>
      </w:pPr>
      <w:r w:rsidRPr="00311D1E">
        <w:t>Conference subsistence is limited to 5 days at the maximum listed below. Justification must be provided for requests that exceed the recommended rates. Scanned copies of original receipts must accompany expense report.</w:t>
      </w:r>
    </w:p>
    <w:p w14:paraId="73CEB6A4" w14:textId="77777777" w:rsidR="0097632A" w:rsidRPr="00311D1E" w:rsidRDefault="0097632A" w:rsidP="00EA730D">
      <w:pPr>
        <w:spacing w:after="0" w:line="240" w:lineRule="auto"/>
        <w:ind w:left="720"/>
      </w:pPr>
    </w:p>
    <w:p w14:paraId="216070DE" w14:textId="64D62D17" w:rsidR="00F471F7" w:rsidRPr="00311D1E" w:rsidRDefault="00BB7889" w:rsidP="00F471F7">
      <w:pPr>
        <w:spacing w:after="0" w:line="240" w:lineRule="auto"/>
        <w:ind w:firstLine="720"/>
        <w:jc w:val="both"/>
      </w:pPr>
      <w:r w:rsidRPr="00311D1E">
        <w:rPr>
          <w:b/>
        </w:rPr>
        <w:t>Meals</w:t>
      </w:r>
      <w:r w:rsidR="00207220" w:rsidRPr="00311D1E">
        <w:t>:</w:t>
      </w:r>
      <w:r w:rsidR="00207220" w:rsidRPr="00311D1E">
        <w:tab/>
      </w:r>
      <w:bookmarkStart w:id="5" w:name="_Hlk62049902"/>
      <w:r w:rsidR="00F471F7" w:rsidRPr="00311D1E">
        <w:t xml:space="preserve">Rates to be used prior to </w:t>
      </w:r>
      <w:r w:rsidR="00E62CFE">
        <w:t>February 29,</w:t>
      </w:r>
      <w:r w:rsidR="00BE3235">
        <w:t xml:space="preserve"> 2024</w:t>
      </w:r>
      <w:r w:rsidR="00F471F7" w:rsidRPr="00311D1E">
        <w:t xml:space="preserve">: </w:t>
      </w:r>
    </w:p>
    <w:p w14:paraId="0BD6C640" w14:textId="078AC06F" w:rsidR="00F471F7" w:rsidRPr="00311D1E" w:rsidRDefault="00F471F7" w:rsidP="00F471F7">
      <w:pPr>
        <w:tabs>
          <w:tab w:val="left" w:pos="720"/>
          <w:tab w:val="left" w:pos="2520"/>
        </w:tabs>
        <w:spacing w:after="0" w:line="240" w:lineRule="auto"/>
        <w:ind w:left="1440"/>
        <w:jc w:val="both"/>
        <w:rPr>
          <w:b/>
        </w:rPr>
      </w:pPr>
      <w:r w:rsidRPr="00311D1E">
        <w:t>In Canada: $9</w:t>
      </w:r>
      <w:r w:rsidR="00BE3235">
        <w:t>8.45</w:t>
      </w:r>
      <w:r w:rsidRPr="00311D1E">
        <w:t xml:space="preserve"> CDN per diem maximum </w:t>
      </w:r>
    </w:p>
    <w:p w14:paraId="04D89588" w14:textId="77777777" w:rsidR="009B1D3C" w:rsidRDefault="00F471F7" w:rsidP="00F471F7">
      <w:pPr>
        <w:spacing w:after="0" w:line="240" w:lineRule="auto"/>
        <w:ind w:left="1440"/>
        <w:jc w:val="both"/>
      </w:pPr>
      <w:r w:rsidRPr="00311D1E">
        <w:t>Outside of Canada: $9</w:t>
      </w:r>
      <w:r w:rsidR="00BE3235">
        <w:t>8.45</w:t>
      </w:r>
      <w:r w:rsidRPr="00311D1E">
        <w:t xml:space="preserve"> US per</w:t>
      </w:r>
    </w:p>
    <w:p w14:paraId="4980314F" w14:textId="4F3023C1" w:rsidR="00F471F7" w:rsidRPr="00311D1E" w:rsidRDefault="00F471F7" w:rsidP="00F471F7">
      <w:pPr>
        <w:spacing w:after="0" w:line="240" w:lineRule="auto"/>
        <w:ind w:left="1440"/>
        <w:jc w:val="both"/>
      </w:pPr>
      <w:r w:rsidRPr="00311D1E">
        <w:t xml:space="preserve"> diem maximum</w:t>
      </w:r>
    </w:p>
    <w:p w14:paraId="55F0760B" w14:textId="77777777" w:rsidR="00F471F7" w:rsidRPr="00311D1E" w:rsidRDefault="00F471F7" w:rsidP="00F471F7">
      <w:pPr>
        <w:spacing w:after="0" w:line="240" w:lineRule="auto"/>
        <w:ind w:left="1440"/>
        <w:jc w:val="both"/>
      </w:pPr>
    </w:p>
    <w:p w14:paraId="04ED75BE" w14:textId="5C970BAB" w:rsidR="00F471F7" w:rsidRPr="00311D1E" w:rsidRDefault="00F471F7" w:rsidP="00F471F7">
      <w:pPr>
        <w:spacing w:after="0" w:line="240" w:lineRule="auto"/>
        <w:ind w:left="1440"/>
        <w:jc w:val="both"/>
      </w:pPr>
      <w:r w:rsidRPr="00311D1E">
        <w:t xml:space="preserve">Rates to be used effective </w:t>
      </w:r>
      <w:r w:rsidR="00E62CFE">
        <w:t>February 29,</w:t>
      </w:r>
      <w:r w:rsidR="00BE3235">
        <w:t xml:space="preserve"> </w:t>
      </w:r>
      <w:r w:rsidRPr="00311D1E">
        <w:t>202</w:t>
      </w:r>
      <w:r w:rsidR="00BE3235">
        <w:t>4</w:t>
      </w:r>
      <w:r w:rsidRPr="00311D1E">
        <w:t xml:space="preserve">: </w:t>
      </w:r>
    </w:p>
    <w:p w14:paraId="24CAA329" w14:textId="2887FAC3" w:rsidR="00F471F7" w:rsidRPr="00311D1E" w:rsidRDefault="00F471F7" w:rsidP="00F471F7">
      <w:pPr>
        <w:spacing w:after="0" w:line="240" w:lineRule="auto"/>
        <w:ind w:left="1440"/>
        <w:jc w:val="both"/>
      </w:pPr>
      <w:r w:rsidRPr="00311D1E">
        <w:t>In Canada: $</w:t>
      </w:r>
      <w:r w:rsidR="00BE3235">
        <w:t>106.10</w:t>
      </w:r>
      <w:r w:rsidRPr="00311D1E">
        <w:t xml:space="preserve"> CDN per diem maximum ($2</w:t>
      </w:r>
      <w:r w:rsidR="00BE3235">
        <w:t>3.6</w:t>
      </w:r>
      <w:r w:rsidRPr="00311D1E">
        <w:t>0/breakfast, $2</w:t>
      </w:r>
      <w:r w:rsidR="00BE3235">
        <w:t>3.90</w:t>
      </w:r>
      <w:r w:rsidRPr="00311D1E">
        <w:t>/lunch, $5</w:t>
      </w:r>
      <w:r w:rsidR="00BE3235">
        <w:t>8.60</w:t>
      </w:r>
      <w:r w:rsidRPr="00311D1E">
        <w:t>/dinner)</w:t>
      </w:r>
    </w:p>
    <w:p w14:paraId="0CE22B06" w14:textId="1CE01120" w:rsidR="00F471F7" w:rsidRPr="00311D1E" w:rsidRDefault="00F471F7" w:rsidP="00F471F7">
      <w:pPr>
        <w:spacing w:after="0" w:line="240" w:lineRule="auto"/>
        <w:ind w:left="1440"/>
        <w:jc w:val="both"/>
      </w:pPr>
      <w:r w:rsidRPr="00311D1E">
        <w:t xml:space="preserve">Outside of Canada: </w:t>
      </w:r>
      <w:bookmarkStart w:id="6" w:name="_Hlk62050211"/>
      <w:r w:rsidRPr="00311D1E">
        <w:t>$</w:t>
      </w:r>
      <w:r w:rsidR="00BE3235">
        <w:t>106.10</w:t>
      </w:r>
      <w:r w:rsidRPr="00311D1E">
        <w:t xml:space="preserve"> US per diem maximum ($2</w:t>
      </w:r>
      <w:r w:rsidR="00BE3235">
        <w:t>3.60</w:t>
      </w:r>
      <w:r w:rsidRPr="00311D1E">
        <w:t>/breakfast, $2</w:t>
      </w:r>
      <w:r w:rsidR="00BE3235">
        <w:t>3.90</w:t>
      </w:r>
      <w:r w:rsidRPr="00311D1E">
        <w:t>/lunch, $5</w:t>
      </w:r>
      <w:r w:rsidR="00BE3235">
        <w:t>8.60</w:t>
      </w:r>
      <w:r w:rsidRPr="00311D1E">
        <w:t>/dinner)</w:t>
      </w:r>
      <w:bookmarkEnd w:id="5"/>
    </w:p>
    <w:bookmarkEnd w:id="6"/>
    <w:p w14:paraId="67BD7058" w14:textId="77777777" w:rsidR="00F471F7" w:rsidRPr="00311D1E" w:rsidRDefault="00F471F7" w:rsidP="00F471F7">
      <w:pPr>
        <w:spacing w:after="0" w:line="240" w:lineRule="auto"/>
        <w:rPr>
          <w:b/>
        </w:rPr>
      </w:pPr>
    </w:p>
    <w:p w14:paraId="123449E8" w14:textId="3A16F738" w:rsidR="007128BA" w:rsidRPr="00311D1E" w:rsidRDefault="00207220" w:rsidP="007128BA">
      <w:pPr>
        <w:spacing w:after="0" w:line="240" w:lineRule="auto"/>
        <w:ind w:left="720"/>
        <w:rPr>
          <w:b/>
          <w:color w:val="67AABF" w:themeColor="hyperlink"/>
          <w:u w:val="single"/>
        </w:rPr>
      </w:pPr>
      <w:r w:rsidRPr="00311D1E">
        <w:rPr>
          <w:b/>
        </w:rPr>
        <w:t xml:space="preserve">Accommodation:  </w:t>
      </w:r>
      <w:r w:rsidRPr="00311D1E">
        <w:t xml:space="preserve">Reasonable cost of a single room per traveler. Complete details are available </w:t>
      </w:r>
      <w:r w:rsidR="001B054F" w:rsidRPr="00311D1E">
        <w:t>on McMaster’s</w:t>
      </w:r>
      <w:r w:rsidR="007128BA" w:rsidRPr="00311D1E">
        <w:t xml:space="preserve"> </w:t>
      </w:r>
      <w:hyperlink r:id="rId13" w:history="1">
        <w:r w:rsidR="00110707" w:rsidRPr="00110707">
          <w:rPr>
            <w:color w:val="0000FF"/>
            <w:u w:val="single"/>
          </w:rPr>
          <w:t>AP-01-Guidelines-Temp-for-RP-with-formatting-Apr-15-2024.pdf (mcmaster.ca)</w:t>
        </w:r>
      </w:hyperlink>
    </w:p>
    <w:p w14:paraId="7B03FEA0" w14:textId="77777777" w:rsidR="007128BA" w:rsidRPr="00311D1E" w:rsidRDefault="007128BA" w:rsidP="007128BA">
      <w:pPr>
        <w:spacing w:after="0" w:line="240" w:lineRule="auto"/>
        <w:ind w:left="284"/>
        <w:rPr>
          <w:b/>
          <w:i/>
          <w:iCs/>
          <w:color w:val="006FC0"/>
        </w:rPr>
      </w:pPr>
    </w:p>
    <w:p w14:paraId="2A802C68" w14:textId="77777777" w:rsidR="007128BA" w:rsidRPr="00311D1E" w:rsidRDefault="007128BA" w:rsidP="001B054F">
      <w:pPr>
        <w:pStyle w:val="BodyText"/>
        <w:spacing w:before="1"/>
        <w:ind w:left="839" w:right="242"/>
        <w:jc w:val="both"/>
        <w:rPr>
          <w:rFonts w:asciiTheme="minorHAnsi" w:hAnsiTheme="minorHAnsi"/>
          <w:b/>
        </w:rPr>
      </w:pPr>
    </w:p>
    <w:p w14:paraId="32459840" w14:textId="77777777" w:rsidR="002F3329" w:rsidRPr="00311D1E" w:rsidRDefault="002F3329" w:rsidP="00DC27E8">
      <w:pPr>
        <w:pStyle w:val="Heading3"/>
        <w:spacing w:before="0" w:line="240" w:lineRule="auto"/>
        <w:ind w:left="284"/>
        <w:rPr>
          <w:rFonts w:asciiTheme="minorHAnsi" w:hAnsiTheme="minorHAnsi"/>
          <w:color w:val="7A0000"/>
          <w:u w:val="single"/>
        </w:rPr>
      </w:pPr>
      <w:r w:rsidRPr="00311D1E">
        <w:rPr>
          <w:rFonts w:asciiTheme="minorHAnsi" w:hAnsiTheme="minorHAnsi"/>
          <w:color w:val="7A0000"/>
          <w:u w:val="single"/>
        </w:rPr>
        <w:t>Evaluation Criteria</w:t>
      </w:r>
    </w:p>
    <w:p w14:paraId="32EE95C2" w14:textId="6583C0D9" w:rsidR="002F3329" w:rsidRPr="00311D1E" w:rsidRDefault="002F3329" w:rsidP="00DC27E8">
      <w:pPr>
        <w:spacing w:after="0" w:line="240" w:lineRule="auto"/>
        <w:ind w:left="284"/>
      </w:pPr>
      <w:r w:rsidRPr="00311D1E">
        <w:t>SSHRC Exchange</w:t>
      </w:r>
      <w:r w:rsidR="009E2877" w:rsidRPr="00311D1E">
        <w:t xml:space="preserve"> - </w:t>
      </w:r>
      <w:r w:rsidRPr="00311D1E">
        <w:t>Conference Attendance &amp; Representational Activities Grant Applications will be reviewed for the following:</w:t>
      </w:r>
    </w:p>
    <w:p w14:paraId="05F40A66" w14:textId="77777777" w:rsidR="002F3329" w:rsidRPr="00311D1E" w:rsidRDefault="002F3329" w:rsidP="00EA730D">
      <w:pPr>
        <w:pStyle w:val="ListParagraph"/>
        <w:numPr>
          <w:ilvl w:val="0"/>
          <w:numId w:val="38"/>
        </w:numPr>
        <w:spacing w:after="0" w:line="240" w:lineRule="auto"/>
        <w:ind w:left="851" w:hanging="425"/>
      </w:pPr>
      <w:r w:rsidRPr="00311D1E">
        <w:t>Significance of the conference (e.g., the conference’s importance to the dissemination of results or research);</w:t>
      </w:r>
    </w:p>
    <w:p w14:paraId="7E3F9323" w14:textId="7072CE86" w:rsidR="002F3329" w:rsidRPr="00311D1E" w:rsidRDefault="002F3329" w:rsidP="00EA730D">
      <w:pPr>
        <w:pStyle w:val="ListParagraph"/>
        <w:numPr>
          <w:ilvl w:val="0"/>
          <w:numId w:val="38"/>
        </w:numPr>
        <w:spacing w:after="0" w:line="240" w:lineRule="auto"/>
        <w:ind w:left="851" w:hanging="425"/>
      </w:pPr>
      <w:r w:rsidRPr="00311D1E">
        <w:t>Justification of the financial expenditures (e.g.</w:t>
      </w:r>
      <w:r w:rsidR="00264F3D" w:rsidRPr="00311D1E">
        <w:t>,</w:t>
      </w:r>
      <w:r w:rsidRPr="00311D1E">
        <w:t xml:space="preserve"> is the budget justified for the Conference proposed);</w:t>
      </w:r>
    </w:p>
    <w:p w14:paraId="67FCACBC" w14:textId="77777777" w:rsidR="002F3329" w:rsidRPr="00311D1E" w:rsidRDefault="002F3329" w:rsidP="00EA730D">
      <w:pPr>
        <w:pStyle w:val="ListParagraph"/>
        <w:numPr>
          <w:ilvl w:val="0"/>
          <w:numId w:val="38"/>
        </w:numPr>
        <w:spacing w:after="0" w:line="240" w:lineRule="auto"/>
        <w:ind w:left="851" w:hanging="425"/>
      </w:pPr>
      <w:r w:rsidRPr="00311D1E">
        <w:t>Contribution to the candidate’s long range research plan; and</w:t>
      </w:r>
    </w:p>
    <w:p w14:paraId="637B8E6C" w14:textId="76A06DFA" w:rsidR="002F3329" w:rsidRPr="00F46A9E" w:rsidRDefault="002F3329" w:rsidP="00EA730D">
      <w:pPr>
        <w:pStyle w:val="ListParagraph"/>
        <w:numPr>
          <w:ilvl w:val="0"/>
          <w:numId w:val="38"/>
        </w:numPr>
        <w:spacing w:after="0" w:line="240" w:lineRule="auto"/>
        <w:ind w:left="851" w:hanging="425"/>
        <w:rPr>
          <w:u w:val="single"/>
        </w:rPr>
      </w:pPr>
      <w:r w:rsidRPr="00311D1E">
        <w:t xml:space="preserve">Applicant’s scholarly contributions relative to the stage of career (e.g., publications, reviews, abstracts, conference presentations over the last </w:t>
      </w:r>
      <w:r w:rsidR="00642397" w:rsidRPr="00311D1E">
        <w:t xml:space="preserve">six </w:t>
      </w:r>
      <w:r w:rsidRPr="00311D1E">
        <w:t>years).</w:t>
      </w:r>
      <w:r w:rsidR="00642397" w:rsidRPr="00311D1E">
        <w:t xml:space="preserve"> </w:t>
      </w:r>
      <w:bookmarkStart w:id="7" w:name="_Hlk124946039"/>
      <w:r w:rsidR="00642397" w:rsidRPr="00311D1E">
        <w:t>S</w:t>
      </w:r>
      <w:r w:rsidR="00642397" w:rsidRPr="00311D1E">
        <w:rPr>
          <w:bCs/>
        </w:rPr>
        <w:t xml:space="preserve">ee </w:t>
      </w:r>
      <w:hyperlink r:id="rId14" w:history="1">
        <w:r w:rsidR="00642397" w:rsidRPr="00F46A9E">
          <w:rPr>
            <w:rStyle w:val="Hyperlink"/>
            <w:bCs/>
            <w:color w:val="0070C0"/>
          </w:rPr>
          <w:t>SSHRC CV</w:t>
        </w:r>
      </w:hyperlink>
      <w:r w:rsidR="00642397" w:rsidRPr="00311D1E">
        <w:rPr>
          <w:bCs/>
        </w:rPr>
        <w:t xml:space="preserve"> and </w:t>
      </w:r>
      <w:hyperlink r:id="rId15" w:anchor="contributions" w:history="1">
        <w:r w:rsidR="00642397" w:rsidRPr="00F46A9E">
          <w:rPr>
            <w:rStyle w:val="Hyperlink"/>
            <w:bCs/>
            <w:color w:val="0070C0"/>
          </w:rPr>
          <w:t>SSHRC Relevant Research Contributions</w:t>
        </w:r>
      </w:hyperlink>
      <w:bookmarkEnd w:id="7"/>
    </w:p>
    <w:p w14:paraId="1613B52E" w14:textId="77777777" w:rsidR="00DC27E8" w:rsidRPr="00311D1E" w:rsidRDefault="00DC27E8" w:rsidP="0023788C">
      <w:pPr>
        <w:pStyle w:val="ListParagraph"/>
        <w:spacing w:after="0" w:line="240" w:lineRule="auto"/>
        <w:ind w:left="851"/>
      </w:pPr>
    </w:p>
    <w:p w14:paraId="0D1A676D" w14:textId="77777777" w:rsidR="0023788C" w:rsidRPr="00311D1E" w:rsidRDefault="002F3329" w:rsidP="00B12E39">
      <w:pPr>
        <w:spacing w:after="0" w:line="240" w:lineRule="auto"/>
        <w:ind w:left="284"/>
      </w:pPr>
      <w:r w:rsidRPr="00311D1E">
        <w:t xml:space="preserve">Priority will be given to applicants requesting support for the presentation of a peer-adjudicated submission at a major, learned conference. </w:t>
      </w:r>
    </w:p>
    <w:p w14:paraId="48FE7F8A" w14:textId="77777777" w:rsidR="0023788C" w:rsidRPr="00311D1E" w:rsidRDefault="0023788C" w:rsidP="0023788C">
      <w:pPr>
        <w:spacing w:after="0" w:line="240" w:lineRule="auto"/>
      </w:pPr>
    </w:p>
    <w:p w14:paraId="666F9AC9" w14:textId="32332DDA" w:rsidR="0023788C" w:rsidRPr="00311D1E" w:rsidRDefault="00DC27E8" w:rsidP="00B12E39">
      <w:pPr>
        <w:spacing w:after="0" w:line="240" w:lineRule="auto"/>
        <w:ind w:left="284"/>
      </w:pPr>
      <w:r w:rsidRPr="00311D1E">
        <w:t>The Arts Research Board will consider applications for travel grants by Canadian scholars who hold office in international scholarly organizations to attend management and policy meetings of those organizations</w:t>
      </w:r>
      <w:r w:rsidR="00264F3D" w:rsidRPr="00311D1E">
        <w:t>.</w:t>
      </w:r>
    </w:p>
    <w:p w14:paraId="62920010" w14:textId="77777777" w:rsidR="0023788C" w:rsidRPr="00311D1E" w:rsidRDefault="0023788C" w:rsidP="0023788C">
      <w:pPr>
        <w:spacing w:after="0" w:line="240" w:lineRule="auto"/>
      </w:pPr>
    </w:p>
    <w:p w14:paraId="161946FF" w14:textId="55E6B772" w:rsidR="00DC27E8" w:rsidRPr="00311D1E" w:rsidRDefault="00DC27E8" w:rsidP="00B12E39">
      <w:pPr>
        <w:spacing w:after="0" w:line="240" w:lineRule="auto"/>
        <w:ind w:left="284"/>
      </w:pPr>
      <w:r w:rsidRPr="00311D1E">
        <w:t>In cases where a joint paper is to be presented, only one author will be supported unless an exceptional circumstance can be demonstrated.</w:t>
      </w:r>
    </w:p>
    <w:p w14:paraId="0F1877BE" w14:textId="77777777" w:rsidR="00277C92" w:rsidRPr="00311D1E" w:rsidRDefault="00277C92" w:rsidP="00B12E39">
      <w:pPr>
        <w:spacing w:after="0" w:line="240" w:lineRule="auto"/>
        <w:ind w:left="284"/>
      </w:pPr>
    </w:p>
    <w:p w14:paraId="62C56EAA" w14:textId="77777777" w:rsidR="008D01E9" w:rsidRPr="00311D1E" w:rsidRDefault="008D01E9" w:rsidP="00EA730D">
      <w:pPr>
        <w:pStyle w:val="Heading2"/>
        <w:rPr>
          <w:rFonts w:asciiTheme="minorHAnsi" w:hAnsiTheme="minorHAnsi"/>
          <w:sz w:val="22"/>
          <w:szCs w:val="22"/>
        </w:rPr>
      </w:pPr>
      <w:bookmarkStart w:id="8" w:name="_2.__SSHRC"/>
      <w:bookmarkEnd w:id="8"/>
    </w:p>
    <w:p w14:paraId="4B335B48" w14:textId="5CA3A281" w:rsidR="00DD459E" w:rsidRPr="00311D1E" w:rsidRDefault="0037743D" w:rsidP="00EA730D">
      <w:pPr>
        <w:pStyle w:val="Heading2"/>
        <w:rPr>
          <w:rFonts w:asciiTheme="minorHAnsi" w:hAnsiTheme="minorHAnsi"/>
          <w:color w:val="0070C0"/>
          <w:sz w:val="22"/>
          <w:szCs w:val="22"/>
          <w:u w:val="single"/>
        </w:rPr>
      </w:pPr>
      <w:r w:rsidRPr="00311D1E">
        <w:rPr>
          <w:rFonts w:asciiTheme="minorHAnsi" w:hAnsiTheme="minorHAnsi"/>
          <w:color w:val="0070C0"/>
          <w:sz w:val="22"/>
          <w:szCs w:val="22"/>
          <w:u w:val="single"/>
        </w:rPr>
        <w:t xml:space="preserve">2.  </w:t>
      </w:r>
      <w:r w:rsidR="000406A2" w:rsidRPr="00311D1E">
        <w:rPr>
          <w:rFonts w:asciiTheme="minorHAnsi" w:hAnsiTheme="minorHAnsi"/>
          <w:color w:val="0070C0"/>
          <w:sz w:val="22"/>
          <w:szCs w:val="22"/>
          <w:u w:val="single"/>
        </w:rPr>
        <w:t xml:space="preserve">SSHRC Explore </w:t>
      </w:r>
      <w:r w:rsidR="009E2877" w:rsidRPr="00311D1E">
        <w:rPr>
          <w:rFonts w:asciiTheme="minorHAnsi" w:hAnsiTheme="minorHAnsi"/>
          <w:color w:val="0070C0"/>
          <w:sz w:val="22"/>
          <w:szCs w:val="22"/>
          <w:u w:val="single"/>
        </w:rPr>
        <w:t xml:space="preserve">- </w:t>
      </w:r>
      <w:r w:rsidR="000406A2" w:rsidRPr="00311D1E">
        <w:rPr>
          <w:rFonts w:asciiTheme="minorHAnsi" w:hAnsiTheme="minorHAnsi"/>
          <w:color w:val="0070C0"/>
          <w:sz w:val="22"/>
          <w:szCs w:val="22"/>
          <w:u w:val="single"/>
        </w:rPr>
        <w:t>Standard Research</w:t>
      </w:r>
      <w:r w:rsidR="00A9433B" w:rsidRPr="00311D1E">
        <w:rPr>
          <w:rFonts w:asciiTheme="minorHAnsi" w:hAnsiTheme="minorHAnsi"/>
          <w:color w:val="0070C0"/>
          <w:sz w:val="22"/>
          <w:szCs w:val="22"/>
          <w:u w:val="single"/>
        </w:rPr>
        <w:t xml:space="preserve"> and Research </w:t>
      </w:r>
      <w:r w:rsidR="000406A2" w:rsidRPr="00311D1E">
        <w:rPr>
          <w:rFonts w:asciiTheme="minorHAnsi" w:hAnsiTheme="minorHAnsi"/>
          <w:color w:val="0070C0"/>
          <w:sz w:val="22"/>
          <w:szCs w:val="22"/>
          <w:u w:val="single"/>
        </w:rPr>
        <w:t>Creati</w:t>
      </w:r>
      <w:r w:rsidR="00A9433B" w:rsidRPr="00311D1E">
        <w:rPr>
          <w:rFonts w:asciiTheme="minorHAnsi" w:hAnsiTheme="minorHAnsi"/>
          <w:color w:val="0070C0"/>
          <w:sz w:val="22"/>
          <w:szCs w:val="22"/>
          <w:u w:val="single"/>
        </w:rPr>
        <w:t>on</w:t>
      </w:r>
      <w:r w:rsidR="000406A2" w:rsidRPr="00311D1E">
        <w:rPr>
          <w:rFonts w:asciiTheme="minorHAnsi" w:hAnsiTheme="minorHAnsi"/>
          <w:color w:val="0070C0"/>
          <w:sz w:val="22"/>
          <w:szCs w:val="22"/>
          <w:u w:val="single"/>
        </w:rPr>
        <w:t xml:space="preserve"> Grant</w:t>
      </w:r>
    </w:p>
    <w:p w14:paraId="0C41A5BD" w14:textId="77777777" w:rsidR="00DD459E" w:rsidRPr="00311D1E" w:rsidRDefault="00DD459E" w:rsidP="00DC27E8">
      <w:pPr>
        <w:spacing w:after="0" w:line="240" w:lineRule="auto"/>
      </w:pPr>
    </w:p>
    <w:p w14:paraId="4D7FE933" w14:textId="77777777" w:rsidR="00066CC9" w:rsidRPr="00311D1E" w:rsidRDefault="00066CC9" w:rsidP="00B12E39">
      <w:pPr>
        <w:spacing w:after="0" w:line="240" w:lineRule="auto"/>
        <w:ind w:left="142"/>
        <w:rPr>
          <w:b/>
          <w:color w:val="7A0000"/>
          <w:u w:val="single"/>
        </w:rPr>
      </w:pPr>
      <w:r w:rsidRPr="00311D1E">
        <w:rPr>
          <w:b/>
          <w:color w:val="7A0000"/>
          <w:u w:val="single"/>
        </w:rPr>
        <w:t>Objectives</w:t>
      </w:r>
    </w:p>
    <w:p w14:paraId="3F222371" w14:textId="1E01CAF3" w:rsidR="00066CC9" w:rsidRPr="00311D1E" w:rsidRDefault="00066CC9" w:rsidP="00B12E39">
      <w:pPr>
        <w:spacing w:after="0" w:line="240" w:lineRule="auto"/>
        <w:ind w:left="142"/>
      </w:pPr>
      <w:r w:rsidRPr="00311D1E">
        <w:t xml:space="preserve">The objective of SSHRC Explore </w:t>
      </w:r>
      <w:r w:rsidR="0070061A" w:rsidRPr="00311D1E">
        <w:t>- S</w:t>
      </w:r>
      <w:r w:rsidRPr="00311D1E">
        <w:t>tandard Research</w:t>
      </w:r>
      <w:r w:rsidR="005954DB" w:rsidRPr="00311D1E">
        <w:t xml:space="preserve"> &amp; Research </w:t>
      </w:r>
      <w:r w:rsidRPr="00311D1E">
        <w:t>Creati</w:t>
      </w:r>
      <w:r w:rsidR="005954DB" w:rsidRPr="00311D1E">
        <w:t xml:space="preserve">on </w:t>
      </w:r>
      <w:r w:rsidRPr="00311D1E">
        <w:t>Gran</w:t>
      </w:r>
      <w:r w:rsidR="0070061A" w:rsidRPr="00311D1E">
        <w:t>t</w:t>
      </w:r>
      <w:r w:rsidRPr="00311D1E">
        <w:t xml:space="preserve"> is to cultivate a strong research base through the support of high</w:t>
      </w:r>
      <w:r w:rsidR="007518B8">
        <w:t>-q</w:t>
      </w:r>
      <w:r w:rsidRPr="00311D1E">
        <w:t>uality research and creati</w:t>
      </w:r>
      <w:r w:rsidR="005D3978" w:rsidRPr="00311D1E">
        <w:t>on</w:t>
      </w:r>
      <w:r w:rsidRPr="00311D1E">
        <w:t xml:space="preserve"> work. It is expected that funding will lead to increased individual and group participation and success in external grant competitions. Seed funding is the Board's priority. These grants support new faculty, new research initiatives and small-scale projects.</w:t>
      </w:r>
    </w:p>
    <w:p w14:paraId="1BB67EB2" w14:textId="77777777" w:rsidR="00066CC9" w:rsidRPr="00311D1E" w:rsidRDefault="00066CC9" w:rsidP="00331262">
      <w:pPr>
        <w:spacing w:after="0" w:line="240" w:lineRule="auto"/>
        <w:ind w:left="284"/>
      </w:pPr>
    </w:p>
    <w:p w14:paraId="43272192" w14:textId="77777777" w:rsidR="00FE63AD" w:rsidRPr="00311D1E" w:rsidRDefault="00FE63AD" w:rsidP="00DB6BFF">
      <w:pPr>
        <w:spacing w:after="0" w:line="240" w:lineRule="auto"/>
        <w:ind w:left="142"/>
        <w:rPr>
          <w:b/>
          <w:color w:val="7A0000"/>
          <w:u w:val="single"/>
        </w:rPr>
      </w:pPr>
      <w:r w:rsidRPr="00311D1E">
        <w:rPr>
          <w:b/>
          <w:color w:val="7A0000"/>
          <w:u w:val="single"/>
        </w:rPr>
        <w:t>Award Value</w:t>
      </w:r>
    </w:p>
    <w:p w14:paraId="4F3FACA3" w14:textId="573585A4" w:rsidR="00FE63AD" w:rsidRPr="00311D1E" w:rsidRDefault="00FE63AD" w:rsidP="00DB6BFF">
      <w:pPr>
        <w:pStyle w:val="Heading4"/>
        <w:spacing w:before="0" w:after="120" w:line="240" w:lineRule="auto"/>
        <w:ind w:left="142"/>
        <w:rPr>
          <w:rFonts w:asciiTheme="minorHAnsi" w:hAnsiTheme="minorHAnsi"/>
          <w:lang w:val="en-CA"/>
        </w:rPr>
      </w:pPr>
      <w:r w:rsidRPr="00311D1E">
        <w:rPr>
          <w:rFonts w:asciiTheme="minorHAnsi" w:eastAsiaTheme="minorHAnsi" w:hAnsiTheme="minorHAnsi" w:cstheme="minorBidi"/>
          <w:b w:val="0"/>
          <w:bCs w:val="0"/>
          <w:i w:val="0"/>
          <w:iCs w:val="0"/>
          <w:color w:val="auto"/>
        </w:rPr>
        <w:t xml:space="preserve">The maximum allowable for the </w:t>
      </w:r>
      <w:r w:rsidRPr="00311D1E">
        <w:rPr>
          <w:rFonts w:asciiTheme="minorHAnsi" w:hAnsiTheme="minorHAnsi"/>
          <w:b w:val="0"/>
          <w:i w:val="0"/>
          <w:color w:val="auto"/>
        </w:rPr>
        <w:t xml:space="preserve">SSHRC Explore </w:t>
      </w:r>
      <w:r w:rsidR="0070061A" w:rsidRPr="00311D1E">
        <w:rPr>
          <w:rFonts w:asciiTheme="minorHAnsi" w:hAnsiTheme="minorHAnsi"/>
          <w:b w:val="0"/>
          <w:i w:val="0"/>
          <w:color w:val="auto"/>
        </w:rPr>
        <w:t>- S</w:t>
      </w:r>
      <w:r w:rsidRPr="00311D1E">
        <w:rPr>
          <w:rFonts w:asciiTheme="minorHAnsi" w:hAnsiTheme="minorHAnsi"/>
          <w:b w:val="0"/>
          <w:i w:val="0"/>
          <w:color w:val="auto"/>
        </w:rPr>
        <w:t>tandard Research</w:t>
      </w:r>
      <w:r w:rsidR="00C924C4" w:rsidRPr="00311D1E">
        <w:rPr>
          <w:rFonts w:asciiTheme="minorHAnsi" w:hAnsiTheme="minorHAnsi"/>
          <w:b w:val="0"/>
          <w:i w:val="0"/>
          <w:color w:val="auto"/>
        </w:rPr>
        <w:t xml:space="preserve"> and Research </w:t>
      </w:r>
      <w:r w:rsidRPr="00311D1E">
        <w:rPr>
          <w:rFonts w:asciiTheme="minorHAnsi" w:eastAsiaTheme="minorHAnsi" w:hAnsiTheme="minorHAnsi" w:cstheme="minorBidi"/>
          <w:b w:val="0"/>
          <w:bCs w:val="0"/>
          <w:i w:val="0"/>
          <w:iCs w:val="0"/>
          <w:color w:val="auto"/>
        </w:rPr>
        <w:t>Creati</w:t>
      </w:r>
      <w:r w:rsidR="00C924C4" w:rsidRPr="00311D1E">
        <w:rPr>
          <w:rFonts w:asciiTheme="minorHAnsi" w:eastAsiaTheme="minorHAnsi" w:hAnsiTheme="minorHAnsi" w:cstheme="minorBidi"/>
          <w:b w:val="0"/>
          <w:bCs w:val="0"/>
          <w:i w:val="0"/>
          <w:iCs w:val="0"/>
          <w:color w:val="auto"/>
        </w:rPr>
        <w:t>on</w:t>
      </w:r>
      <w:r w:rsidRPr="00311D1E">
        <w:rPr>
          <w:rFonts w:asciiTheme="minorHAnsi" w:eastAsiaTheme="minorHAnsi" w:hAnsiTheme="minorHAnsi" w:cstheme="minorBidi"/>
          <w:b w:val="0"/>
          <w:bCs w:val="0"/>
          <w:i w:val="0"/>
          <w:iCs w:val="0"/>
          <w:color w:val="auto"/>
        </w:rPr>
        <w:t xml:space="preserve"> Gran</w:t>
      </w:r>
      <w:r w:rsidR="0070061A" w:rsidRPr="00311D1E">
        <w:rPr>
          <w:rFonts w:asciiTheme="minorHAnsi" w:eastAsiaTheme="minorHAnsi" w:hAnsiTheme="minorHAnsi" w:cstheme="minorBidi"/>
          <w:b w:val="0"/>
          <w:bCs w:val="0"/>
          <w:i w:val="0"/>
          <w:iCs w:val="0"/>
          <w:color w:val="auto"/>
        </w:rPr>
        <w:t>t</w:t>
      </w:r>
      <w:r w:rsidRPr="00311D1E">
        <w:rPr>
          <w:rFonts w:asciiTheme="minorHAnsi" w:eastAsiaTheme="minorHAnsi" w:hAnsiTheme="minorHAnsi" w:cstheme="minorBidi"/>
          <w:b w:val="0"/>
          <w:bCs w:val="0"/>
          <w:i w:val="0"/>
          <w:iCs w:val="0"/>
          <w:color w:val="auto"/>
        </w:rPr>
        <w:t xml:space="preserve"> and </w:t>
      </w:r>
      <w:r w:rsidRPr="00311D1E">
        <w:rPr>
          <w:rFonts w:asciiTheme="minorHAnsi" w:hAnsiTheme="minorHAnsi"/>
          <w:b w:val="0"/>
          <w:i w:val="0"/>
          <w:color w:val="auto"/>
        </w:rPr>
        <w:t xml:space="preserve">SSHRC Exchange </w:t>
      </w:r>
      <w:r w:rsidR="0070061A" w:rsidRPr="00311D1E">
        <w:rPr>
          <w:rFonts w:asciiTheme="minorHAnsi" w:hAnsiTheme="minorHAnsi"/>
          <w:b w:val="0"/>
          <w:i w:val="0"/>
          <w:color w:val="auto"/>
        </w:rPr>
        <w:t>- S</w:t>
      </w:r>
      <w:r w:rsidRPr="00311D1E">
        <w:rPr>
          <w:rFonts w:asciiTheme="minorHAnsi" w:eastAsiaTheme="minorHAnsi" w:hAnsiTheme="minorHAnsi" w:cstheme="minorBidi"/>
          <w:b w:val="0"/>
          <w:bCs w:val="0"/>
          <w:i w:val="0"/>
          <w:iCs w:val="0"/>
          <w:color w:val="auto"/>
        </w:rPr>
        <w:t xml:space="preserve">cholarly Publications </w:t>
      </w:r>
      <w:r w:rsidRPr="00311D1E">
        <w:rPr>
          <w:rFonts w:asciiTheme="minorHAnsi" w:hAnsiTheme="minorHAnsi"/>
          <w:b w:val="0"/>
          <w:i w:val="0"/>
          <w:color w:val="auto"/>
        </w:rPr>
        <w:t>Gran</w:t>
      </w:r>
      <w:r w:rsidR="0070061A" w:rsidRPr="00311D1E">
        <w:rPr>
          <w:rFonts w:asciiTheme="minorHAnsi" w:hAnsiTheme="minorHAnsi"/>
          <w:b w:val="0"/>
          <w:i w:val="0"/>
          <w:color w:val="auto"/>
        </w:rPr>
        <w:t>t</w:t>
      </w:r>
      <w:r w:rsidRPr="00311D1E">
        <w:rPr>
          <w:rFonts w:asciiTheme="minorHAnsi" w:eastAsiaTheme="minorHAnsi" w:hAnsiTheme="minorHAnsi" w:cstheme="minorBidi"/>
          <w:b w:val="0"/>
          <w:bCs w:val="0"/>
          <w:i w:val="0"/>
          <w:iCs w:val="0"/>
          <w:color w:val="auto"/>
        </w:rPr>
        <w:t xml:space="preserve"> </w:t>
      </w:r>
      <w:r w:rsidRPr="00311D1E">
        <w:rPr>
          <w:rFonts w:asciiTheme="minorHAnsi" w:eastAsiaTheme="minorHAnsi" w:hAnsiTheme="minorHAnsi" w:cstheme="minorBidi"/>
          <w:bCs w:val="0"/>
          <w:i w:val="0"/>
          <w:iCs w:val="0"/>
          <w:color w:val="auto"/>
        </w:rPr>
        <w:t>combined is $</w:t>
      </w:r>
      <w:r w:rsidR="007B7A8E">
        <w:rPr>
          <w:rFonts w:asciiTheme="minorHAnsi" w:eastAsiaTheme="minorHAnsi" w:hAnsiTheme="minorHAnsi" w:cstheme="minorBidi"/>
          <w:bCs w:val="0"/>
          <w:i w:val="0"/>
          <w:iCs w:val="0"/>
          <w:color w:val="auto"/>
        </w:rPr>
        <w:t>10</w:t>
      </w:r>
      <w:r w:rsidRPr="00311D1E">
        <w:rPr>
          <w:rFonts w:asciiTheme="minorHAnsi" w:eastAsiaTheme="minorHAnsi" w:hAnsiTheme="minorHAnsi" w:cstheme="minorBidi"/>
          <w:bCs w:val="0"/>
          <w:i w:val="0"/>
          <w:iCs w:val="0"/>
          <w:color w:val="auto"/>
        </w:rPr>
        <w:t xml:space="preserve">,000 per Researcher per competition Cycle </w:t>
      </w:r>
      <w:r w:rsidRPr="00311D1E">
        <w:rPr>
          <w:rFonts w:asciiTheme="minorHAnsi" w:eastAsiaTheme="minorHAnsi" w:hAnsiTheme="minorHAnsi" w:cstheme="minorBidi"/>
          <w:b w:val="0"/>
          <w:bCs w:val="0"/>
          <w:i w:val="0"/>
          <w:iCs w:val="0"/>
          <w:color w:val="auto"/>
        </w:rPr>
        <w:t xml:space="preserve">and the </w:t>
      </w:r>
      <w:r w:rsidRPr="00311D1E">
        <w:rPr>
          <w:rFonts w:asciiTheme="minorHAnsi" w:eastAsiaTheme="minorHAnsi" w:hAnsiTheme="minorHAnsi" w:cstheme="minorBidi"/>
          <w:bCs w:val="0"/>
          <w:i w:val="0"/>
          <w:iCs w:val="0"/>
          <w:color w:val="auto"/>
        </w:rPr>
        <w:t>award is granted</w:t>
      </w:r>
      <w:r w:rsidRPr="00311D1E">
        <w:rPr>
          <w:rFonts w:asciiTheme="minorHAnsi" w:hAnsiTheme="minorHAnsi"/>
          <w:i w:val="0"/>
          <w:color w:val="auto"/>
          <w:lang w:val="en-CA"/>
        </w:rPr>
        <w:t xml:space="preserve"> for a period of 24 months beginning January 1st</w:t>
      </w:r>
      <w:r w:rsidRPr="00311D1E">
        <w:rPr>
          <w:rFonts w:asciiTheme="minorHAnsi" w:hAnsiTheme="minorHAnsi"/>
          <w:b w:val="0"/>
          <w:i w:val="0"/>
          <w:color w:val="auto"/>
          <w:lang w:val="en-CA"/>
        </w:rPr>
        <w:t>. Any grant funds not used by the end of that period will be returned to the ARB.</w:t>
      </w:r>
    </w:p>
    <w:p w14:paraId="58CED7CF" w14:textId="77777777" w:rsidR="00FE63AD" w:rsidRPr="00311D1E" w:rsidRDefault="00FE63AD" w:rsidP="00DB6BFF">
      <w:pPr>
        <w:spacing w:after="0" w:line="240" w:lineRule="auto"/>
        <w:ind w:left="142"/>
        <w:rPr>
          <w:bCs/>
          <w:lang w:val="en-CA"/>
        </w:rPr>
      </w:pPr>
      <w:r w:rsidRPr="00311D1E">
        <w:rPr>
          <w:b/>
          <w:bCs/>
          <w:i/>
        </w:rPr>
        <w:t>Please Note:</w:t>
      </w:r>
      <w:r w:rsidRPr="00311D1E">
        <w:rPr>
          <w:b/>
          <w:bCs/>
        </w:rPr>
        <w:t xml:space="preserve">  </w:t>
      </w:r>
      <w:r w:rsidRPr="00311D1E">
        <w:rPr>
          <w:bCs/>
          <w:position w:val="1"/>
          <w:lang w:val="en-CA"/>
        </w:rPr>
        <w:t>Depending on the</w:t>
      </w:r>
      <w:r w:rsidRPr="00311D1E">
        <w:rPr>
          <w:bCs/>
          <w:spacing w:val="14"/>
          <w:position w:val="1"/>
          <w:lang w:val="en-CA"/>
        </w:rPr>
        <w:t xml:space="preserve"> </w:t>
      </w:r>
      <w:r w:rsidRPr="00311D1E">
        <w:rPr>
          <w:bCs/>
          <w:position w:val="1"/>
          <w:lang w:val="en-CA"/>
        </w:rPr>
        <w:t>number</w:t>
      </w:r>
      <w:r w:rsidRPr="00311D1E">
        <w:rPr>
          <w:bCs/>
          <w:spacing w:val="12"/>
          <w:position w:val="1"/>
          <w:lang w:val="en-CA"/>
        </w:rPr>
        <w:t xml:space="preserve"> </w:t>
      </w:r>
      <w:r w:rsidRPr="00311D1E">
        <w:rPr>
          <w:bCs/>
          <w:position w:val="1"/>
          <w:lang w:val="en-CA"/>
        </w:rPr>
        <w:t>of</w:t>
      </w:r>
      <w:r w:rsidRPr="00311D1E">
        <w:rPr>
          <w:bCs/>
          <w:spacing w:val="10"/>
          <w:position w:val="1"/>
          <w:lang w:val="en-CA"/>
        </w:rPr>
        <w:t xml:space="preserve"> </w:t>
      </w:r>
      <w:r w:rsidRPr="00311D1E">
        <w:rPr>
          <w:bCs/>
          <w:position w:val="1"/>
          <w:lang w:val="en-CA"/>
        </w:rPr>
        <w:t>hig</w:t>
      </w:r>
      <w:r w:rsidRPr="00311D1E">
        <w:rPr>
          <w:bCs/>
          <w:spacing w:val="1"/>
          <w:position w:val="1"/>
          <w:lang w:val="en-CA"/>
        </w:rPr>
        <w:t>h</w:t>
      </w:r>
      <w:r w:rsidRPr="00311D1E">
        <w:rPr>
          <w:bCs/>
          <w:spacing w:val="6"/>
          <w:position w:val="1"/>
          <w:lang w:val="en-CA"/>
        </w:rPr>
        <w:t>-</w:t>
      </w:r>
      <w:r w:rsidRPr="00311D1E">
        <w:rPr>
          <w:bCs/>
          <w:position w:val="1"/>
          <w:lang w:val="en-CA"/>
        </w:rPr>
        <w:t>quality</w:t>
      </w:r>
      <w:r w:rsidRPr="00311D1E">
        <w:rPr>
          <w:bCs/>
          <w:spacing w:val="19"/>
          <w:position w:val="1"/>
          <w:lang w:val="en-CA"/>
        </w:rPr>
        <w:t xml:space="preserve"> </w:t>
      </w:r>
      <w:r w:rsidRPr="00311D1E">
        <w:rPr>
          <w:bCs/>
          <w:position w:val="1"/>
          <w:lang w:val="en-CA"/>
        </w:rPr>
        <w:t>applications received</w:t>
      </w:r>
      <w:r w:rsidRPr="00311D1E">
        <w:rPr>
          <w:bCs/>
          <w:spacing w:val="26"/>
          <w:position w:val="1"/>
          <w:lang w:val="en-CA"/>
        </w:rPr>
        <w:t>,</w:t>
      </w:r>
      <w:r w:rsidRPr="00311D1E">
        <w:rPr>
          <w:bCs/>
          <w:spacing w:val="25"/>
          <w:position w:val="1"/>
          <w:lang w:val="en-CA"/>
        </w:rPr>
        <w:t xml:space="preserve"> </w:t>
      </w:r>
      <w:r w:rsidRPr="00311D1E">
        <w:rPr>
          <w:bCs/>
          <w:position w:val="1"/>
          <w:lang w:val="en-CA"/>
        </w:rPr>
        <w:t>the ARB</w:t>
      </w:r>
      <w:r w:rsidRPr="00311D1E">
        <w:rPr>
          <w:bCs/>
          <w:spacing w:val="8"/>
          <w:position w:val="1"/>
          <w:lang w:val="en-CA"/>
        </w:rPr>
        <w:t xml:space="preserve"> may be</w:t>
      </w:r>
      <w:r w:rsidRPr="00311D1E">
        <w:rPr>
          <w:bCs/>
          <w:spacing w:val="12"/>
          <w:position w:val="1"/>
          <w:lang w:val="en-CA"/>
        </w:rPr>
        <w:t xml:space="preserve"> </w:t>
      </w:r>
      <w:r w:rsidRPr="00311D1E">
        <w:rPr>
          <w:bCs/>
          <w:position w:val="1"/>
          <w:lang w:val="en-CA"/>
        </w:rPr>
        <w:t>unable</w:t>
      </w:r>
      <w:r w:rsidRPr="00311D1E">
        <w:rPr>
          <w:bCs/>
          <w:spacing w:val="20"/>
          <w:position w:val="1"/>
          <w:lang w:val="en-CA"/>
        </w:rPr>
        <w:t xml:space="preserve"> </w:t>
      </w:r>
      <w:r w:rsidRPr="00311D1E">
        <w:rPr>
          <w:bCs/>
          <w:position w:val="1"/>
          <w:lang w:val="en-CA"/>
        </w:rPr>
        <w:t>to</w:t>
      </w:r>
      <w:r w:rsidRPr="00311D1E">
        <w:rPr>
          <w:bCs/>
          <w:spacing w:val="3"/>
          <w:position w:val="1"/>
          <w:lang w:val="en-CA"/>
        </w:rPr>
        <w:t xml:space="preserve"> </w:t>
      </w:r>
      <w:r w:rsidRPr="00311D1E">
        <w:rPr>
          <w:bCs/>
          <w:position w:val="1"/>
          <w:lang w:val="en-CA"/>
        </w:rPr>
        <w:t>fund</w:t>
      </w:r>
      <w:r w:rsidRPr="00311D1E">
        <w:rPr>
          <w:bCs/>
          <w:spacing w:val="5"/>
          <w:position w:val="1"/>
          <w:lang w:val="en-CA"/>
        </w:rPr>
        <w:t xml:space="preserve"> </w:t>
      </w:r>
      <w:r w:rsidRPr="00311D1E">
        <w:rPr>
          <w:bCs/>
          <w:position w:val="1"/>
          <w:lang w:val="en-CA"/>
        </w:rPr>
        <w:t xml:space="preserve">all </w:t>
      </w:r>
      <w:r w:rsidRPr="00311D1E">
        <w:rPr>
          <w:bCs/>
          <w:lang w:val="en-CA"/>
        </w:rPr>
        <w:t>applications</w:t>
      </w:r>
      <w:r w:rsidRPr="00311D1E">
        <w:rPr>
          <w:bCs/>
          <w:spacing w:val="26"/>
          <w:lang w:val="en-CA"/>
        </w:rPr>
        <w:t xml:space="preserve"> </w:t>
      </w:r>
      <w:r w:rsidRPr="00311D1E">
        <w:rPr>
          <w:bCs/>
          <w:lang w:val="en-CA"/>
        </w:rPr>
        <w:t>at</w:t>
      </w:r>
      <w:r w:rsidRPr="00311D1E">
        <w:rPr>
          <w:bCs/>
          <w:spacing w:val="-1"/>
          <w:lang w:val="en-CA"/>
        </w:rPr>
        <w:t xml:space="preserve"> </w:t>
      </w:r>
      <w:r w:rsidRPr="00311D1E">
        <w:rPr>
          <w:bCs/>
          <w:lang w:val="en-CA"/>
        </w:rPr>
        <w:t>the</w:t>
      </w:r>
      <w:r w:rsidRPr="00311D1E">
        <w:rPr>
          <w:bCs/>
          <w:spacing w:val="14"/>
          <w:lang w:val="en-CA"/>
        </w:rPr>
        <w:t xml:space="preserve"> </w:t>
      </w:r>
      <w:r w:rsidRPr="00311D1E">
        <w:rPr>
          <w:bCs/>
          <w:lang w:val="en-CA"/>
        </w:rPr>
        <w:t>level</w:t>
      </w:r>
      <w:r w:rsidRPr="00311D1E">
        <w:rPr>
          <w:bCs/>
          <w:spacing w:val="18"/>
          <w:lang w:val="en-CA"/>
        </w:rPr>
        <w:t xml:space="preserve"> </w:t>
      </w:r>
      <w:r w:rsidRPr="00311D1E">
        <w:rPr>
          <w:bCs/>
          <w:lang w:val="en-CA"/>
        </w:rPr>
        <w:t>requested. </w:t>
      </w:r>
    </w:p>
    <w:p w14:paraId="1239FDF0" w14:textId="77777777" w:rsidR="00066CC9" w:rsidRPr="00311D1E" w:rsidRDefault="00066CC9" w:rsidP="00066CC9">
      <w:pPr>
        <w:spacing w:after="0" w:line="240" w:lineRule="auto"/>
        <w:ind w:left="284"/>
        <w:rPr>
          <w:b/>
        </w:rPr>
      </w:pPr>
    </w:p>
    <w:p w14:paraId="55CF9C94" w14:textId="77777777" w:rsidR="00066CC9" w:rsidRPr="00311D1E" w:rsidRDefault="00066CC9" w:rsidP="00DB6BFF">
      <w:pPr>
        <w:spacing w:after="0" w:line="240" w:lineRule="auto"/>
        <w:ind w:left="142"/>
        <w:rPr>
          <w:b/>
          <w:color w:val="7A0000"/>
          <w:u w:val="single"/>
        </w:rPr>
      </w:pPr>
      <w:r w:rsidRPr="00311D1E">
        <w:rPr>
          <w:b/>
          <w:color w:val="7A0000"/>
          <w:u w:val="single"/>
        </w:rPr>
        <w:t>Competition Dates</w:t>
      </w:r>
    </w:p>
    <w:p w14:paraId="18B6C30B" w14:textId="7396F6A7" w:rsidR="00FE63AD" w:rsidRPr="00311D1E" w:rsidRDefault="00FE63AD" w:rsidP="00DB6BFF">
      <w:pPr>
        <w:spacing w:after="0" w:line="240" w:lineRule="auto"/>
        <w:ind w:left="142"/>
        <w:rPr>
          <w:b/>
        </w:rPr>
      </w:pPr>
      <w:r w:rsidRPr="00311D1E">
        <w:t>Each year there is one SSHRC Explore</w:t>
      </w:r>
      <w:r w:rsidR="009325F0" w:rsidRPr="00311D1E">
        <w:t xml:space="preserve"> </w:t>
      </w:r>
      <w:r w:rsidR="0070061A" w:rsidRPr="00311D1E">
        <w:t>- S</w:t>
      </w:r>
      <w:r w:rsidRPr="00311D1E">
        <w:t>tandard Research</w:t>
      </w:r>
      <w:r w:rsidR="00C924C4" w:rsidRPr="00311D1E">
        <w:t xml:space="preserve"> and Research </w:t>
      </w:r>
      <w:r w:rsidRPr="00311D1E">
        <w:t>Creati</w:t>
      </w:r>
      <w:r w:rsidR="00C924C4" w:rsidRPr="00311D1E">
        <w:t>on Gr</w:t>
      </w:r>
      <w:r w:rsidRPr="00311D1E">
        <w:t>an</w:t>
      </w:r>
      <w:r w:rsidR="0070061A" w:rsidRPr="00311D1E">
        <w:t>t</w:t>
      </w:r>
      <w:r w:rsidRPr="00311D1E">
        <w:t xml:space="preserve"> competition.  </w:t>
      </w:r>
      <w:r w:rsidR="00A5600D" w:rsidRPr="00311D1E">
        <w:t>C</w:t>
      </w:r>
      <w:r w:rsidRPr="00311D1E">
        <w:t>ompleted application</w:t>
      </w:r>
      <w:r w:rsidR="00A5600D" w:rsidRPr="00311D1E">
        <w:t>s</w:t>
      </w:r>
      <w:r w:rsidRPr="00311D1E">
        <w:t xml:space="preserve"> must be </w:t>
      </w:r>
      <w:r w:rsidR="00A5600D" w:rsidRPr="00311D1E">
        <w:t>submitted to</w:t>
      </w:r>
      <w:r w:rsidRPr="00311D1E">
        <w:t xml:space="preserve"> ROADS </w:t>
      </w:r>
      <w:r w:rsidRPr="00311D1E">
        <w:rPr>
          <w:b/>
        </w:rPr>
        <w:t>by 4:30pm on the deadline date, October 31st.</w:t>
      </w:r>
    </w:p>
    <w:p w14:paraId="36653857" w14:textId="77777777" w:rsidR="00BB2581" w:rsidRPr="00311D1E" w:rsidRDefault="00BB2581" w:rsidP="00DB6BFF">
      <w:pPr>
        <w:pStyle w:val="Heading3"/>
        <w:ind w:left="142"/>
        <w:rPr>
          <w:rFonts w:asciiTheme="minorHAnsi" w:hAnsiTheme="minorHAnsi"/>
          <w:color w:val="7A0000"/>
          <w:u w:val="single"/>
        </w:rPr>
      </w:pPr>
      <w:r w:rsidRPr="00311D1E">
        <w:rPr>
          <w:rFonts w:asciiTheme="minorHAnsi" w:hAnsiTheme="minorHAnsi"/>
          <w:color w:val="7A0000"/>
          <w:u w:val="single"/>
        </w:rPr>
        <w:t>Application Process</w:t>
      </w:r>
    </w:p>
    <w:p w14:paraId="642F360C" w14:textId="77777777" w:rsidR="00BB2581" w:rsidRPr="00311D1E" w:rsidRDefault="00BB2581" w:rsidP="00DB6BFF">
      <w:pPr>
        <w:ind w:left="142"/>
      </w:pPr>
      <w:r w:rsidRPr="00311D1E">
        <w:t>By the application deadline, applicants must submit to ROADS one signed paper copy or one electronic copy of the paperwork below.</w:t>
      </w:r>
    </w:p>
    <w:p w14:paraId="02395F67" w14:textId="77777777" w:rsidR="00FE63AD" w:rsidRPr="00311D1E" w:rsidRDefault="00FE63AD" w:rsidP="00DB6BFF">
      <w:pPr>
        <w:spacing w:after="0" w:line="240" w:lineRule="auto"/>
        <w:ind w:left="142"/>
      </w:pPr>
      <w:r w:rsidRPr="00311D1E">
        <w:t xml:space="preserve">A complete </w:t>
      </w:r>
      <w:r w:rsidR="00240A89" w:rsidRPr="00311D1E">
        <w:t xml:space="preserve">SSHRC Explore - </w:t>
      </w:r>
      <w:r w:rsidRPr="00311D1E">
        <w:t>Standard Research</w:t>
      </w:r>
      <w:r w:rsidR="005D3978" w:rsidRPr="00311D1E">
        <w:t xml:space="preserve"> &amp; Research </w:t>
      </w:r>
      <w:r w:rsidRPr="00311D1E">
        <w:t>Creati</w:t>
      </w:r>
      <w:r w:rsidR="005D3978" w:rsidRPr="00311D1E">
        <w:t xml:space="preserve">on </w:t>
      </w:r>
      <w:r w:rsidRPr="00311D1E">
        <w:t>Grant application consists of:</w:t>
      </w:r>
    </w:p>
    <w:p w14:paraId="6E0D9B40" w14:textId="77777777" w:rsidR="00FE63AD" w:rsidRPr="00311D1E" w:rsidRDefault="00FE63AD" w:rsidP="00233EEA">
      <w:pPr>
        <w:pStyle w:val="ListParagraph"/>
        <w:numPr>
          <w:ilvl w:val="0"/>
          <w:numId w:val="32"/>
        </w:numPr>
        <w:spacing w:after="0" w:line="240" w:lineRule="auto"/>
      </w:pPr>
      <w:r w:rsidRPr="00311D1E">
        <w:t xml:space="preserve">ARB Application Form </w:t>
      </w:r>
      <w:r w:rsidRPr="00614E6E">
        <w:t>(signed by Department Chair or their delegate)</w:t>
      </w:r>
      <w:r w:rsidRPr="00311D1E">
        <w:t>; and</w:t>
      </w:r>
    </w:p>
    <w:p w14:paraId="1B09E63C" w14:textId="77777777" w:rsidR="00FE63AD" w:rsidRPr="00311D1E" w:rsidRDefault="00FE63AD" w:rsidP="00233EEA">
      <w:pPr>
        <w:pStyle w:val="ListParagraph"/>
        <w:numPr>
          <w:ilvl w:val="0"/>
          <w:numId w:val="32"/>
        </w:numPr>
        <w:spacing w:after="0" w:line="240" w:lineRule="auto"/>
      </w:pPr>
      <w:r w:rsidRPr="00311D1E">
        <w:t xml:space="preserve">Supporting Documentation: </w:t>
      </w:r>
      <w:r w:rsidRPr="00311D1E">
        <w:tab/>
      </w:r>
    </w:p>
    <w:p w14:paraId="65D23947" w14:textId="77777777" w:rsidR="00FE63AD" w:rsidRPr="00311D1E" w:rsidRDefault="00FE63AD" w:rsidP="00233EEA">
      <w:pPr>
        <w:numPr>
          <w:ilvl w:val="1"/>
          <w:numId w:val="34"/>
        </w:numPr>
        <w:spacing w:after="0" w:line="240" w:lineRule="auto"/>
        <w:ind w:left="1276" w:hanging="425"/>
        <w:rPr>
          <w:bCs/>
        </w:rPr>
      </w:pPr>
      <w:r w:rsidRPr="00311D1E">
        <w:rPr>
          <w:bCs/>
        </w:rPr>
        <w:t xml:space="preserve">summary (maximum 1 page); </w:t>
      </w:r>
    </w:p>
    <w:p w14:paraId="4CEC3C72" w14:textId="3BF85F1D" w:rsidR="00FE63AD" w:rsidRPr="00311D1E" w:rsidRDefault="00FE63AD" w:rsidP="00233EEA">
      <w:pPr>
        <w:numPr>
          <w:ilvl w:val="1"/>
          <w:numId w:val="34"/>
        </w:numPr>
        <w:spacing w:after="0" w:line="240" w:lineRule="auto"/>
        <w:ind w:left="1276" w:hanging="425"/>
        <w:rPr>
          <w:bCs/>
        </w:rPr>
      </w:pPr>
      <w:bookmarkStart w:id="9" w:name="_Hlk124946423"/>
      <w:r w:rsidRPr="00311D1E">
        <w:rPr>
          <w:bCs/>
        </w:rPr>
        <w:lastRenderedPageBreak/>
        <w:t xml:space="preserve">detailed description </w:t>
      </w:r>
      <w:bookmarkEnd w:id="9"/>
      <w:r w:rsidRPr="00311D1E">
        <w:rPr>
          <w:bCs/>
        </w:rPr>
        <w:t>(maximum 2 pages);</w:t>
      </w:r>
      <w:r w:rsidR="00AB6C32" w:rsidRPr="00311D1E">
        <w:rPr>
          <w:bCs/>
        </w:rPr>
        <w:t xml:space="preserve"> </w:t>
      </w:r>
      <w:r w:rsidR="00AB6C32" w:rsidRPr="00311D1E">
        <w:rPr>
          <w:rStyle w:val="cf01"/>
          <w:rFonts w:asciiTheme="minorHAnsi" w:eastAsia="Times New Roman" w:hAnsiTheme="minorHAnsi"/>
        </w:rPr>
        <w:t xml:space="preserve">include any data management strategies, as applicable. See </w:t>
      </w:r>
      <w:hyperlink r:id="rId16" w:history="1">
        <w:r w:rsidR="00AB6C32" w:rsidRPr="00F46A9E">
          <w:rPr>
            <w:rStyle w:val="Hyperlink"/>
            <w:rFonts w:eastAsia="Times New Roman" w:cs="Segoe UI"/>
            <w:color w:val="0070C0"/>
            <w:u w:val="none"/>
          </w:rPr>
          <w:t>Tri-Agency Data Management Policy</w:t>
        </w:r>
      </w:hyperlink>
      <w:r w:rsidR="00AB6C32" w:rsidRPr="00311D1E">
        <w:rPr>
          <w:rFonts w:eastAsia="Times New Roman"/>
        </w:rPr>
        <w:t>.</w:t>
      </w:r>
    </w:p>
    <w:p w14:paraId="1DD7D196" w14:textId="77777777" w:rsidR="00FE63AD" w:rsidRPr="00311D1E" w:rsidRDefault="00FE63AD" w:rsidP="00233EEA">
      <w:pPr>
        <w:pStyle w:val="ListParagraph"/>
        <w:numPr>
          <w:ilvl w:val="1"/>
          <w:numId w:val="34"/>
        </w:numPr>
        <w:spacing w:after="0" w:line="240" w:lineRule="auto"/>
        <w:ind w:left="1276" w:hanging="425"/>
        <w:rPr>
          <w:bCs/>
        </w:rPr>
      </w:pPr>
      <w:r w:rsidRPr="00311D1E">
        <w:rPr>
          <w:bCs/>
        </w:rPr>
        <w:t>budget justification (maximum 1 page)</w:t>
      </w:r>
    </w:p>
    <w:p w14:paraId="6919368D" w14:textId="77777777" w:rsidR="00DB3E6A" w:rsidRPr="00DB3E6A" w:rsidRDefault="00372060" w:rsidP="00DB3E6A">
      <w:pPr>
        <w:pStyle w:val="ListParagraph"/>
        <w:numPr>
          <w:ilvl w:val="0"/>
          <w:numId w:val="32"/>
        </w:numPr>
        <w:tabs>
          <w:tab w:val="right" w:pos="720"/>
        </w:tabs>
        <w:spacing w:after="0" w:line="240" w:lineRule="auto"/>
        <w:rPr>
          <w:rFonts w:ascii="Garamond" w:hAnsi="Garamond"/>
          <w:bCs/>
          <w:color w:val="0070C0"/>
        </w:rPr>
      </w:pPr>
      <w:hyperlink r:id="rId17" w:history="1">
        <w:r w:rsidR="00DB3E6A" w:rsidRPr="00DB3E6A">
          <w:rPr>
            <w:rStyle w:val="Hyperlink"/>
            <w:rFonts w:ascii="Garamond" w:hAnsi="Garamond"/>
            <w:bCs/>
            <w:color w:val="0070C0"/>
          </w:rPr>
          <w:t>SSHRC CV</w:t>
        </w:r>
      </w:hyperlink>
      <w:r w:rsidR="00DB3E6A" w:rsidRPr="00DB3E6A">
        <w:rPr>
          <w:rFonts w:ascii="Garamond" w:hAnsi="Garamond"/>
          <w:bCs/>
          <w:color w:val="0070C0"/>
        </w:rPr>
        <w:t xml:space="preserve"> and </w:t>
      </w:r>
      <w:hyperlink r:id="rId18" w:anchor="contributions" w:history="1">
        <w:r w:rsidR="00DB3E6A" w:rsidRPr="00DB3E6A">
          <w:rPr>
            <w:rStyle w:val="Hyperlink"/>
            <w:rFonts w:ascii="Garamond" w:hAnsi="Garamond"/>
            <w:color w:val="0070C0"/>
          </w:rPr>
          <w:t>SSHRC Relevant Research Contributions</w:t>
        </w:r>
      </w:hyperlink>
      <w:r w:rsidR="00DB3E6A" w:rsidRPr="00DB3E6A">
        <w:rPr>
          <w:rFonts w:ascii="Garamond" w:hAnsi="Garamond"/>
          <w:i/>
          <w:iCs/>
          <w:color w:val="0070C0"/>
        </w:rPr>
        <w:t xml:space="preserve"> </w:t>
      </w:r>
      <w:r w:rsidR="00DB3E6A" w:rsidRPr="00DB3E6A">
        <w:rPr>
          <w:rFonts w:ascii="Garamond" w:hAnsi="Garamond"/>
          <w:bCs/>
          <w:color w:val="0070C0"/>
        </w:rPr>
        <w:t xml:space="preserve">or </w:t>
      </w:r>
      <w:hyperlink r:id="rId19" w:history="1">
        <w:r w:rsidR="00DB3E6A" w:rsidRPr="00DB3E6A">
          <w:rPr>
            <w:rStyle w:val="Hyperlink"/>
            <w:rFonts w:ascii="Garamond" w:hAnsi="Garamond"/>
            <w:bCs/>
            <w:color w:val="0070C0"/>
          </w:rPr>
          <w:t>Common CV (CCV)</w:t>
        </w:r>
      </w:hyperlink>
    </w:p>
    <w:p w14:paraId="2F17085F" w14:textId="3BAC42B8" w:rsidR="00FE63AD" w:rsidRPr="00311D1E" w:rsidRDefault="00FE63AD" w:rsidP="00233EEA">
      <w:pPr>
        <w:pStyle w:val="ListParagraph"/>
        <w:numPr>
          <w:ilvl w:val="0"/>
          <w:numId w:val="32"/>
        </w:numPr>
        <w:tabs>
          <w:tab w:val="right" w:pos="720"/>
        </w:tabs>
        <w:spacing w:after="0" w:line="240" w:lineRule="auto"/>
        <w:rPr>
          <w:bCs/>
        </w:rPr>
      </w:pPr>
      <w:r w:rsidRPr="00311D1E">
        <w:rPr>
          <w:bCs/>
        </w:rPr>
        <w:t>Additional documents:</w:t>
      </w:r>
    </w:p>
    <w:p w14:paraId="21A8E999" w14:textId="77777777" w:rsidR="00FE63AD" w:rsidRPr="00311D1E" w:rsidRDefault="00FE63AD" w:rsidP="00233EEA">
      <w:pPr>
        <w:pStyle w:val="ListParagraph"/>
        <w:numPr>
          <w:ilvl w:val="1"/>
          <w:numId w:val="36"/>
        </w:numPr>
        <w:tabs>
          <w:tab w:val="right" w:pos="720"/>
        </w:tabs>
        <w:spacing w:after="0" w:line="240" w:lineRule="auto"/>
        <w:ind w:left="1276" w:hanging="425"/>
        <w:rPr>
          <w:rStyle w:val="Emphasis"/>
          <w:rFonts w:eastAsiaTheme="majorEastAsia" w:cstheme="majorBidi"/>
          <w:b/>
          <w:bCs/>
          <w:i w:val="0"/>
          <w:iCs w:val="0"/>
          <w:color w:val="6F6F74" w:themeColor="accent1"/>
        </w:rPr>
      </w:pPr>
      <w:r w:rsidRPr="00311D1E">
        <w:rPr>
          <w:rStyle w:val="Emphasis"/>
          <w:i w:val="0"/>
        </w:rPr>
        <w:t xml:space="preserve">Applications from </w:t>
      </w:r>
      <w:r w:rsidRPr="00311D1E">
        <w:rPr>
          <w:rStyle w:val="Emphasis"/>
          <w:b/>
          <w:i w:val="0"/>
        </w:rPr>
        <w:t>postdoctoral fellows</w:t>
      </w:r>
      <w:r w:rsidRPr="00311D1E">
        <w:rPr>
          <w:rStyle w:val="Emphasis"/>
          <w:i w:val="0"/>
        </w:rPr>
        <w:t xml:space="preserve"> must also include a letter of support (maximum one page) from their supervisors.</w:t>
      </w:r>
    </w:p>
    <w:p w14:paraId="68165830" w14:textId="77777777" w:rsidR="00FE63AD" w:rsidRPr="00311D1E" w:rsidRDefault="00FE63AD" w:rsidP="00233EEA">
      <w:pPr>
        <w:pStyle w:val="ListParagraph"/>
        <w:numPr>
          <w:ilvl w:val="1"/>
          <w:numId w:val="36"/>
        </w:numPr>
        <w:tabs>
          <w:tab w:val="right" w:pos="720"/>
        </w:tabs>
        <w:spacing w:after="0" w:line="240" w:lineRule="auto"/>
        <w:ind w:left="1276" w:hanging="425"/>
        <w:rPr>
          <w:bCs/>
        </w:rPr>
      </w:pPr>
      <w:r w:rsidRPr="00311D1E">
        <w:t xml:space="preserve">Applications from scholars holding </w:t>
      </w:r>
      <w:proofErr w:type="gramStart"/>
      <w:r w:rsidRPr="00311D1E">
        <w:rPr>
          <w:b/>
        </w:rPr>
        <w:t>contractually-limited</w:t>
      </w:r>
      <w:proofErr w:type="gramEnd"/>
      <w:r w:rsidRPr="00311D1E">
        <w:rPr>
          <w:b/>
        </w:rPr>
        <w:t xml:space="preserve"> appointments</w:t>
      </w:r>
      <w:r w:rsidRPr="00311D1E">
        <w:t xml:space="preserve"> and/or </w:t>
      </w:r>
      <w:r w:rsidRPr="00311D1E">
        <w:rPr>
          <w:b/>
        </w:rPr>
        <w:t>postdoctoral fellows</w:t>
      </w:r>
      <w:r w:rsidRPr="00311D1E">
        <w:t xml:space="preserve"> must include a workplan (maximum one page) to demonstrate that the activities for which they are requesting funding will be completed before their appointment ends.</w:t>
      </w:r>
    </w:p>
    <w:p w14:paraId="3C421FD3" w14:textId="3F60D1AD" w:rsidR="00FB7F45" w:rsidRPr="00311D1E" w:rsidRDefault="00FB7F45" w:rsidP="00233EEA">
      <w:pPr>
        <w:pStyle w:val="ListParagraph"/>
        <w:numPr>
          <w:ilvl w:val="1"/>
          <w:numId w:val="36"/>
        </w:numPr>
        <w:tabs>
          <w:tab w:val="right" w:pos="720"/>
        </w:tabs>
        <w:spacing w:after="0" w:line="240" w:lineRule="auto"/>
        <w:ind w:left="1276" w:hanging="425"/>
        <w:rPr>
          <w:bCs/>
        </w:rPr>
      </w:pPr>
      <w:r w:rsidRPr="00311D1E">
        <w:t xml:space="preserve">Postdoctoral fellows must obtain both the chair and the </w:t>
      </w:r>
      <w:r w:rsidRPr="009804BA">
        <w:t xml:space="preserve">dean’s </w:t>
      </w:r>
      <w:r w:rsidR="00AF0C6A" w:rsidRPr="009804BA">
        <w:t xml:space="preserve">(or their delegate) </w:t>
      </w:r>
      <w:r w:rsidRPr="009804BA">
        <w:t>signature</w:t>
      </w:r>
      <w:r w:rsidR="00264F3D" w:rsidRPr="00311D1E">
        <w:t>.</w:t>
      </w:r>
    </w:p>
    <w:p w14:paraId="4FCBBB31" w14:textId="77777777" w:rsidR="00066CC9" w:rsidRPr="00311D1E" w:rsidRDefault="00066CC9" w:rsidP="00331262">
      <w:pPr>
        <w:pStyle w:val="ListParagraph"/>
        <w:tabs>
          <w:tab w:val="right" w:pos="720"/>
        </w:tabs>
        <w:spacing w:after="0" w:line="240" w:lineRule="auto"/>
        <w:ind w:left="1276"/>
        <w:rPr>
          <w:bCs/>
        </w:rPr>
      </w:pPr>
    </w:p>
    <w:p w14:paraId="780FF55F" w14:textId="77777777" w:rsidR="00FC6225" w:rsidRPr="006E3FA6" w:rsidRDefault="00066CC9" w:rsidP="00FC6225">
      <w:pPr>
        <w:pStyle w:val="Heading3"/>
        <w:spacing w:before="0" w:line="240" w:lineRule="auto"/>
        <w:ind w:left="284"/>
        <w:rPr>
          <w:rFonts w:asciiTheme="minorHAnsi" w:hAnsiTheme="minorHAnsi"/>
          <w:color w:val="7A0000"/>
          <w:u w:val="single"/>
        </w:rPr>
      </w:pPr>
      <w:r w:rsidRPr="006E3FA6">
        <w:rPr>
          <w:rFonts w:asciiTheme="minorHAnsi" w:hAnsiTheme="minorHAnsi"/>
          <w:color w:val="7A0000"/>
          <w:u w:val="single"/>
        </w:rPr>
        <w:t>Eligible Expenditures</w:t>
      </w:r>
    </w:p>
    <w:p w14:paraId="74E83E5B" w14:textId="0CAD1961" w:rsidR="00110707" w:rsidRDefault="00FC6225" w:rsidP="00110707">
      <w:pPr>
        <w:pStyle w:val="Heading3"/>
        <w:spacing w:before="0" w:line="240" w:lineRule="auto"/>
        <w:ind w:left="284"/>
        <w:rPr>
          <w:rFonts w:asciiTheme="minorHAnsi" w:eastAsiaTheme="minorHAnsi" w:hAnsiTheme="minorHAnsi" w:cstheme="minorBidi"/>
          <w:b w:val="0"/>
          <w:bCs w:val="0"/>
          <w:color w:val="auto"/>
        </w:rPr>
      </w:pPr>
      <w:r w:rsidRPr="006E3FA6">
        <w:rPr>
          <w:rFonts w:asciiTheme="minorHAnsi" w:hAnsiTheme="minorHAnsi"/>
        </w:rPr>
        <w:t xml:space="preserve">For complete details of Eligible Expenditures, see McMaster’s </w:t>
      </w:r>
      <w:hyperlink r:id="rId20" w:history="1">
        <w:r w:rsidR="00110707" w:rsidRPr="00110707">
          <w:rPr>
            <w:rFonts w:asciiTheme="minorHAnsi" w:eastAsiaTheme="minorHAnsi" w:hAnsiTheme="minorHAnsi" w:cstheme="minorBidi"/>
            <w:b w:val="0"/>
            <w:bCs w:val="0"/>
            <w:color w:val="0000FF"/>
            <w:u w:val="single"/>
          </w:rPr>
          <w:t>AP-01-Guidelines-Temp-for-RP-with-formatting-Apr-15-2024.pdf (mcmaster.ca)</w:t>
        </w:r>
      </w:hyperlink>
    </w:p>
    <w:p w14:paraId="3D46E960" w14:textId="77777777" w:rsidR="00110707" w:rsidRDefault="00110707" w:rsidP="00331262">
      <w:pPr>
        <w:spacing w:after="0" w:line="240" w:lineRule="auto"/>
        <w:ind w:left="284"/>
      </w:pPr>
    </w:p>
    <w:p w14:paraId="2254B517" w14:textId="371860D0" w:rsidR="00DB4CB4" w:rsidRPr="006E3FA6" w:rsidRDefault="00DB4CB4" w:rsidP="00331262">
      <w:pPr>
        <w:spacing w:after="0" w:line="240" w:lineRule="auto"/>
        <w:ind w:left="284"/>
      </w:pPr>
      <w:r w:rsidRPr="006E3FA6">
        <w:t>The Board will consider all essential direct operating expenditures within the following categories:</w:t>
      </w:r>
    </w:p>
    <w:p w14:paraId="26B4051B" w14:textId="77777777" w:rsidR="00DB4CB4" w:rsidRPr="006E3FA6" w:rsidRDefault="00DB4CB4" w:rsidP="00DB4CB4">
      <w:pPr>
        <w:pStyle w:val="Heading4"/>
        <w:spacing w:before="0" w:line="240" w:lineRule="auto"/>
        <w:ind w:left="720"/>
        <w:rPr>
          <w:rFonts w:asciiTheme="minorHAnsi" w:hAnsiTheme="minorHAnsi"/>
          <w:color w:val="6C1D45"/>
        </w:rPr>
      </w:pPr>
    </w:p>
    <w:p w14:paraId="633496CD" w14:textId="77777777" w:rsidR="00DB4CB4" w:rsidRPr="006E3FA6" w:rsidRDefault="00DB4CB4" w:rsidP="001205E6">
      <w:pPr>
        <w:pStyle w:val="Heading4"/>
        <w:spacing w:before="0" w:line="240" w:lineRule="auto"/>
        <w:ind w:left="720"/>
        <w:rPr>
          <w:rFonts w:asciiTheme="minorHAnsi" w:hAnsiTheme="minorHAnsi"/>
          <w:color w:val="6C1D45"/>
        </w:rPr>
      </w:pPr>
      <w:r w:rsidRPr="006E3FA6">
        <w:rPr>
          <w:rFonts w:asciiTheme="minorHAnsi" w:hAnsiTheme="minorHAnsi"/>
          <w:color w:val="6C1D45"/>
        </w:rPr>
        <w:t>Transportation</w:t>
      </w:r>
    </w:p>
    <w:p w14:paraId="738A26F0" w14:textId="1CF2A21E" w:rsidR="00DB4CB4" w:rsidRPr="006E3FA6" w:rsidRDefault="00DB4CB4" w:rsidP="00331262">
      <w:pPr>
        <w:spacing w:after="0" w:line="240" w:lineRule="auto"/>
        <w:ind w:left="720"/>
      </w:pPr>
      <w:r w:rsidRPr="006E3FA6">
        <w:t xml:space="preserve">Applicants are encouraged to use the most economical travel arrangements available and suitable to their requirements. Applications quoting higher fares because of a lack of planning will not be considered </w:t>
      </w:r>
      <w:proofErr w:type="spellStart"/>
      <w:r w:rsidR="007518B8">
        <w:t>f</w:t>
      </w:r>
      <w:r w:rsidRPr="006E3FA6">
        <w:t>avourably</w:t>
      </w:r>
      <w:proofErr w:type="spellEnd"/>
      <w:r w:rsidRPr="006E3FA6">
        <w:t xml:space="preserve"> by the Board.  Alternate means such as interlibrary loans, mail or telephone calls, for data collection should be utilized wherever possible.</w:t>
      </w:r>
    </w:p>
    <w:p w14:paraId="1604B7AE" w14:textId="77777777" w:rsidR="00BB2581" w:rsidRPr="006E3FA6" w:rsidRDefault="00BB2581" w:rsidP="00331262">
      <w:pPr>
        <w:spacing w:after="0" w:line="240" w:lineRule="auto"/>
        <w:ind w:left="720"/>
      </w:pPr>
    </w:p>
    <w:p w14:paraId="4E0756AB" w14:textId="77777777" w:rsidR="00DB4CB4" w:rsidRPr="006E3FA6" w:rsidRDefault="00DB4CB4" w:rsidP="00331262">
      <w:pPr>
        <w:spacing w:after="0" w:line="240" w:lineRule="auto"/>
        <w:ind w:left="720"/>
      </w:pPr>
      <w:r w:rsidRPr="006E3FA6">
        <w:t xml:space="preserve">ARB support is limited to economy-class air fare, or comparable rail or bus fare, as justified. Travel support for day trips is limited to current public transportation costs (e.g. GO Transit fare for trips to Toronto). </w:t>
      </w:r>
    </w:p>
    <w:p w14:paraId="0A94AA67" w14:textId="77777777" w:rsidR="00DB4CB4" w:rsidRPr="006E3FA6" w:rsidRDefault="00DB4CB4" w:rsidP="00DB4CB4">
      <w:pPr>
        <w:spacing w:after="0" w:line="240" w:lineRule="auto"/>
        <w:ind w:left="720"/>
      </w:pPr>
    </w:p>
    <w:p w14:paraId="0459E173" w14:textId="77777777" w:rsidR="00DB4CB4" w:rsidRPr="006E3FA6" w:rsidRDefault="00DB4CB4" w:rsidP="00DB4CB4">
      <w:pPr>
        <w:pStyle w:val="Heading4"/>
        <w:spacing w:before="0" w:line="240" w:lineRule="auto"/>
        <w:ind w:left="720"/>
        <w:rPr>
          <w:rFonts w:asciiTheme="minorHAnsi" w:hAnsiTheme="minorHAnsi"/>
          <w:color w:val="6C1D45"/>
        </w:rPr>
      </w:pPr>
      <w:proofErr w:type="spellStart"/>
      <w:r w:rsidRPr="006E3FA6">
        <w:rPr>
          <w:rFonts w:asciiTheme="minorHAnsi" w:hAnsiTheme="minorHAnsi"/>
          <w:color w:val="6C1D45"/>
        </w:rPr>
        <w:t>Kilometre</w:t>
      </w:r>
      <w:proofErr w:type="spellEnd"/>
      <w:r w:rsidRPr="006E3FA6">
        <w:rPr>
          <w:rFonts w:asciiTheme="minorHAnsi" w:hAnsiTheme="minorHAnsi"/>
          <w:color w:val="6C1D45"/>
        </w:rPr>
        <w:t xml:space="preserve"> Rates </w:t>
      </w:r>
    </w:p>
    <w:p w14:paraId="072ABCD1" w14:textId="77777777" w:rsidR="00DB4CB4" w:rsidRPr="006E3FA6" w:rsidRDefault="00DB4CB4" w:rsidP="00DB4CB4">
      <w:pPr>
        <w:spacing w:after="0" w:line="240" w:lineRule="auto"/>
        <w:ind w:left="720"/>
      </w:pPr>
      <w:r w:rsidRPr="006E3FA6">
        <w:t xml:space="preserve">The following University rates are to be used: </w:t>
      </w:r>
    </w:p>
    <w:p w14:paraId="7C86E5C1" w14:textId="77777777" w:rsidR="009B1D3C" w:rsidRPr="00311D1E" w:rsidRDefault="00DB4CB4" w:rsidP="009B1D3C">
      <w:pPr>
        <w:pStyle w:val="ListParagraph"/>
        <w:numPr>
          <w:ilvl w:val="0"/>
          <w:numId w:val="24"/>
        </w:numPr>
        <w:spacing w:after="0" w:line="240" w:lineRule="auto"/>
        <w:ind w:left="1560" w:hanging="426"/>
      </w:pPr>
      <w:r w:rsidRPr="006E3FA6">
        <w:t xml:space="preserve"> </w:t>
      </w:r>
      <w:r w:rsidR="009B1D3C" w:rsidRPr="00311D1E">
        <w:t>6</w:t>
      </w:r>
      <w:r w:rsidR="009B1D3C">
        <w:t>8</w:t>
      </w:r>
      <w:r w:rsidR="009B1D3C" w:rsidRPr="00311D1E">
        <w:t xml:space="preserve">¢ per </w:t>
      </w:r>
      <w:proofErr w:type="spellStart"/>
      <w:r w:rsidR="009B1D3C" w:rsidRPr="00311D1E">
        <w:t>kilometre</w:t>
      </w:r>
      <w:proofErr w:type="spellEnd"/>
      <w:r w:rsidR="009B1D3C" w:rsidRPr="00311D1E">
        <w:t xml:space="preserve"> for the first 5,000 </w:t>
      </w:r>
      <w:proofErr w:type="spellStart"/>
      <w:r w:rsidR="009B1D3C" w:rsidRPr="00311D1E">
        <w:t>kilometres</w:t>
      </w:r>
      <w:proofErr w:type="spellEnd"/>
      <w:r w:rsidR="009B1D3C" w:rsidRPr="00311D1E">
        <w:t xml:space="preserve"> driven; and</w:t>
      </w:r>
    </w:p>
    <w:p w14:paraId="5E290B1B" w14:textId="77777777" w:rsidR="009B1D3C" w:rsidRPr="00311D1E" w:rsidRDefault="009B1D3C" w:rsidP="009B1D3C">
      <w:pPr>
        <w:pStyle w:val="ListParagraph"/>
        <w:numPr>
          <w:ilvl w:val="0"/>
          <w:numId w:val="24"/>
        </w:numPr>
        <w:spacing w:after="0" w:line="240" w:lineRule="auto"/>
        <w:ind w:left="1560" w:hanging="426"/>
      </w:pPr>
      <w:r w:rsidRPr="00311D1E">
        <w:t xml:space="preserve"> </w:t>
      </w:r>
      <w:r>
        <w:t>62</w:t>
      </w:r>
      <w:r w:rsidRPr="00311D1E">
        <w:t xml:space="preserve">¢ per </w:t>
      </w:r>
      <w:proofErr w:type="spellStart"/>
      <w:r w:rsidRPr="00311D1E">
        <w:t>kilometre</w:t>
      </w:r>
      <w:proofErr w:type="spellEnd"/>
      <w:r w:rsidRPr="00311D1E">
        <w:t xml:space="preserve"> driven after that.</w:t>
      </w:r>
    </w:p>
    <w:p w14:paraId="2F099DAF" w14:textId="679BFD86" w:rsidR="00DB4CB4" w:rsidRDefault="00DB4CB4" w:rsidP="009B1D3C">
      <w:pPr>
        <w:pStyle w:val="ListParagraph"/>
        <w:spacing w:after="0" w:line="240" w:lineRule="auto"/>
        <w:ind w:left="1560"/>
      </w:pPr>
    </w:p>
    <w:p w14:paraId="2034F4EA" w14:textId="77777777" w:rsidR="009B1D3C" w:rsidRPr="006E3FA6" w:rsidRDefault="009B1D3C" w:rsidP="009B1D3C">
      <w:pPr>
        <w:pStyle w:val="ListParagraph"/>
        <w:spacing w:after="0" w:line="240" w:lineRule="auto"/>
        <w:ind w:left="1560"/>
      </w:pPr>
    </w:p>
    <w:p w14:paraId="59E44544" w14:textId="664CD341" w:rsidR="007128BA" w:rsidRPr="006E3FA6" w:rsidRDefault="00DB4CB4" w:rsidP="007128BA">
      <w:pPr>
        <w:ind w:left="720" w:right="574"/>
        <w:rPr>
          <w:b/>
          <w:color w:val="67AABF" w:themeColor="hyperlink"/>
          <w:u w:val="single"/>
        </w:rPr>
      </w:pPr>
      <w:r w:rsidRPr="006E3FA6">
        <w:t xml:space="preserve">For more detail, </w:t>
      </w:r>
      <w:r w:rsidR="007128BA" w:rsidRPr="006E3FA6">
        <w:t xml:space="preserve">see McMaster’s </w:t>
      </w:r>
      <w:hyperlink r:id="rId21" w:history="1">
        <w:r w:rsidR="00110707" w:rsidRPr="00110707">
          <w:rPr>
            <w:color w:val="0000FF"/>
            <w:u w:val="single"/>
          </w:rPr>
          <w:t>AP-01-Guidelines-Temp-for-RP-with-formatting-Apr-15-2024.pdf (mcmaster.ca)</w:t>
        </w:r>
      </w:hyperlink>
    </w:p>
    <w:p w14:paraId="03E7F69F" w14:textId="77777777" w:rsidR="00DB4CB4" w:rsidRPr="006E3FA6" w:rsidRDefault="00DB4CB4" w:rsidP="001205E6">
      <w:pPr>
        <w:pStyle w:val="Heading4"/>
        <w:spacing w:before="0" w:line="240" w:lineRule="auto"/>
        <w:ind w:firstLine="720"/>
        <w:rPr>
          <w:rFonts w:asciiTheme="minorHAnsi" w:hAnsiTheme="minorHAnsi"/>
          <w:color w:val="6C1D45"/>
        </w:rPr>
      </w:pPr>
      <w:r w:rsidRPr="006E3FA6">
        <w:rPr>
          <w:rFonts w:asciiTheme="minorHAnsi" w:hAnsiTheme="minorHAnsi"/>
          <w:color w:val="6C1D45"/>
        </w:rPr>
        <w:t xml:space="preserve">Subsistence  </w:t>
      </w:r>
    </w:p>
    <w:p w14:paraId="74ECF605" w14:textId="77777777" w:rsidR="00DB4CB4" w:rsidRPr="006E3FA6" w:rsidRDefault="00DB4CB4" w:rsidP="00277C92">
      <w:pPr>
        <w:spacing w:after="0" w:line="240" w:lineRule="auto"/>
        <w:ind w:left="403" w:firstLine="403"/>
      </w:pPr>
      <w:r w:rsidRPr="006E3FA6">
        <w:t xml:space="preserve">The maximum per diems for Meals and Lodging are outlined in the table below. </w:t>
      </w:r>
    </w:p>
    <w:p w14:paraId="41A709DD" w14:textId="77777777" w:rsidR="005D3978" w:rsidRPr="006E3FA6" w:rsidRDefault="005D3978" w:rsidP="005D3978">
      <w:pPr>
        <w:spacing w:after="0" w:line="240" w:lineRule="auto"/>
        <w:ind w:left="1124"/>
        <w:rPr>
          <w:b/>
        </w:rPr>
      </w:pPr>
    </w:p>
    <w:p w14:paraId="40527897" w14:textId="77777777" w:rsidR="009B1D3C" w:rsidRPr="00311D1E" w:rsidRDefault="009B1D3C" w:rsidP="009B1D3C">
      <w:pPr>
        <w:spacing w:after="0" w:line="240" w:lineRule="auto"/>
        <w:ind w:firstLine="720"/>
        <w:jc w:val="both"/>
      </w:pPr>
      <w:bookmarkStart w:id="10" w:name="_Hlk62050697"/>
      <w:r w:rsidRPr="00311D1E">
        <w:rPr>
          <w:b/>
        </w:rPr>
        <w:t>Meals</w:t>
      </w:r>
      <w:r w:rsidRPr="00311D1E">
        <w:t>:</w:t>
      </w:r>
      <w:r w:rsidRPr="00311D1E">
        <w:tab/>
        <w:t xml:space="preserve">Rates to be used prior to </w:t>
      </w:r>
      <w:r>
        <w:t>February 29, 2024</w:t>
      </w:r>
      <w:r w:rsidRPr="00311D1E">
        <w:t xml:space="preserve">: </w:t>
      </w:r>
    </w:p>
    <w:p w14:paraId="36E90EE0" w14:textId="77777777" w:rsidR="009B1D3C" w:rsidRPr="00311D1E" w:rsidRDefault="009B1D3C" w:rsidP="009B1D3C">
      <w:pPr>
        <w:tabs>
          <w:tab w:val="left" w:pos="720"/>
          <w:tab w:val="left" w:pos="2520"/>
        </w:tabs>
        <w:spacing w:after="0" w:line="240" w:lineRule="auto"/>
        <w:ind w:left="1440"/>
        <w:jc w:val="both"/>
        <w:rPr>
          <w:b/>
        </w:rPr>
      </w:pPr>
      <w:r w:rsidRPr="00311D1E">
        <w:t>In Canada: $9</w:t>
      </w:r>
      <w:r>
        <w:t>8.45</w:t>
      </w:r>
      <w:r w:rsidRPr="00311D1E">
        <w:t xml:space="preserve"> CDN per diem maximum </w:t>
      </w:r>
    </w:p>
    <w:p w14:paraId="25EC6EEF" w14:textId="77777777" w:rsidR="009B1D3C" w:rsidRPr="00311D1E" w:rsidRDefault="009B1D3C" w:rsidP="009B1D3C">
      <w:pPr>
        <w:spacing w:after="0" w:line="240" w:lineRule="auto"/>
        <w:ind w:left="1440"/>
        <w:jc w:val="both"/>
      </w:pPr>
      <w:r w:rsidRPr="00311D1E">
        <w:t>Outside of Canada: $9</w:t>
      </w:r>
      <w:r>
        <w:t>8.45</w:t>
      </w:r>
      <w:r w:rsidRPr="00311D1E">
        <w:t xml:space="preserve"> US per diem maximum</w:t>
      </w:r>
    </w:p>
    <w:p w14:paraId="7A688C34" w14:textId="77777777" w:rsidR="009B1D3C" w:rsidRPr="00311D1E" w:rsidRDefault="009B1D3C" w:rsidP="009B1D3C">
      <w:pPr>
        <w:spacing w:after="0" w:line="240" w:lineRule="auto"/>
        <w:ind w:left="1440"/>
        <w:jc w:val="both"/>
      </w:pPr>
    </w:p>
    <w:p w14:paraId="17D7AEBD" w14:textId="77777777" w:rsidR="009B1D3C" w:rsidRPr="00311D1E" w:rsidRDefault="009B1D3C" w:rsidP="009B1D3C">
      <w:pPr>
        <w:spacing w:after="0" w:line="240" w:lineRule="auto"/>
        <w:ind w:left="1440"/>
        <w:jc w:val="both"/>
      </w:pPr>
      <w:r w:rsidRPr="00311D1E">
        <w:t xml:space="preserve">Rates to be used effective </w:t>
      </w:r>
      <w:r>
        <w:t xml:space="preserve">February 29, </w:t>
      </w:r>
      <w:r w:rsidRPr="00311D1E">
        <w:t>202</w:t>
      </w:r>
      <w:r>
        <w:t>4</w:t>
      </w:r>
      <w:r w:rsidRPr="00311D1E">
        <w:t xml:space="preserve">: </w:t>
      </w:r>
    </w:p>
    <w:p w14:paraId="48574846" w14:textId="77777777" w:rsidR="009B1D3C" w:rsidRPr="00311D1E" w:rsidRDefault="009B1D3C" w:rsidP="009B1D3C">
      <w:pPr>
        <w:spacing w:after="0" w:line="240" w:lineRule="auto"/>
        <w:ind w:left="1440"/>
        <w:jc w:val="both"/>
      </w:pPr>
      <w:r w:rsidRPr="00311D1E">
        <w:t>In Canada: $</w:t>
      </w:r>
      <w:r>
        <w:t>106.10</w:t>
      </w:r>
      <w:r w:rsidRPr="00311D1E">
        <w:t xml:space="preserve"> CDN per diem maximum ($2</w:t>
      </w:r>
      <w:r>
        <w:t>3.6</w:t>
      </w:r>
      <w:r w:rsidRPr="00311D1E">
        <w:t>0/breakfast, $2</w:t>
      </w:r>
      <w:r>
        <w:t>3.90</w:t>
      </w:r>
      <w:r w:rsidRPr="00311D1E">
        <w:t>/lunch, $5</w:t>
      </w:r>
      <w:r>
        <w:t>8.60</w:t>
      </w:r>
      <w:r w:rsidRPr="00311D1E">
        <w:t>/dinner)</w:t>
      </w:r>
    </w:p>
    <w:p w14:paraId="577C876F" w14:textId="77777777" w:rsidR="009B1D3C" w:rsidRPr="00311D1E" w:rsidRDefault="009B1D3C" w:rsidP="009B1D3C">
      <w:pPr>
        <w:spacing w:after="0" w:line="240" w:lineRule="auto"/>
        <w:ind w:left="1440"/>
        <w:jc w:val="both"/>
      </w:pPr>
      <w:r w:rsidRPr="00311D1E">
        <w:t>Outside of Canada: $</w:t>
      </w:r>
      <w:r>
        <w:t>106.10</w:t>
      </w:r>
      <w:r w:rsidRPr="00311D1E">
        <w:t xml:space="preserve"> US per diem maximum ($2</w:t>
      </w:r>
      <w:r>
        <w:t>3.60</w:t>
      </w:r>
      <w:r w:rsidRPr="00311D1E">
        <w:t>/breakfast, $2</w:t>
      </w:r>
      <w:r>
        <w:t>3.90</w:t>
      </w:r>
      <w:r w:rsidRPr="00311D1E">
        <w:t>/lunch, $5</w:t>
      </w:r>
      <w:r>
        <w:t>8.60</w:t>
      </w:r>
      <w:r w:rsidRPr="00311D1E">
        <w:t>/dinner)</w:t>
      </w:r>
    </w:p>
    <w:p w14:paraId="6F803678" w14:textId="6B7E6E93" w:rsidR="00C44CE7" w:rsidRPr="006E3FA6" w:rsidRDefault="00C44CE7" w:rsidP="00F471F7">
      <w:pPr>
        <w:spacing w:after="0" w:line="240" w:lineRule="auto"/>
        <w:ind w:left="403" w:firstLine="403"/>
        <w:rPr>
          <w:b/>
        </w:rPr>
      </w:pPr>
    </w:p>
    <w:bookmarkEnd w:id="10"/>
    <w:p w14:paraId="1C3F90E2" w14:textId="3D7388E6" w:rsidR="007128BA" w:rsidRPr="006E3FA6" w:rsidRDefault="005D3978" w:rsidP="007128BA">
      <w:pPr>
        <w:ind w:left="720" w:right="574"/>
      </w:pPr>
      <w:r w:rsidRPr="006E3FA6">
        <w:rPr>
          <w:b/>
        </w:rPr>
        <w:t>Accommodation:</w:t>
      </w:r>
      <w:r w:rsidRPr="006E3FA6">
        <w:t xml:space="preserve">  Reasonable cost of a single room per traveler. Complete details are available on the </w:t>
      </w:r>
      <w:r w:rsidR="007128BA" w:rsidRPr="006E3FA6">
        <w:t xml:space="preserve">McMaster’s </w:t>
      </w:r>
      <w:hyperlink r:id="rId22" w:history="1">
        <w:r w:rsidR="00110707" w:rsidRPr="00110707">
          <w:rPr>
            <w:color w:val="0000FF"/>
            <w:u w:val="single"/>
          </w:rPr>
          <w:t>AP-01-Guidelines-Temp-for-RP-with-formatting-Apr-15-2024.pdf (mcmaster.ca)</w:t>
        </w:r>
      </w:hyperlink>
    </w:p>
    <w:p w14:paraId="090B38BE" w14:textId="4DA601DF" w:rsidR="00AB34D0" w:rsidRPr="006E3FA6" w:rsidRDefault="00DB4CB4" w:rsidP="007128BA">
      <w:pPr>
        <w:spacing w:after="0" w:line="240" w:lineRule="auto"/>
        <w:ind w:left="720"/>
      </w:pPr>
      <w:r w:rsidRPr="006E3FA6">
        <w:lastRenderedPageBreak/>
        <w:t xml:space="preserve">Remuneration will not normally exceed 28 days.  (The Board may be willing to consider requests that exceed 28 days provided:   the applicant provides a rationale that justifies the longer support period and specifies the </w:t>
      </w:r>
      <w:proofErr w:type="gramStart"/>
      <w:r w:rsidRPr="006E3FA6">
        <w:t>manner in which</w:t>
      </w:r>
      <w:proofErr w:type="gramEnd"/>
      <w:r w:rsidRPr="006E3FA6">
        <w:t xml:space="preserve"> the funds will be used in as economical a manner as possible). </w:t>
      </w:r>
    </w:p>
    <w:p w14:paraId="0E8C998F" w14:textId="77777777" w:rsidR="00AB34D0" w:rsidRPr="006E3FA6" w:rsidRDefault="00DB4CB4" w:rsidP="00233EEA">
      <w:pPr>
        <w:spacing w:after="0" w:line="240" w:lineRule="auto"/>
        <w:ind w:left="720"/>
      </w:pPr>
      <w:r w:rsidRPr="006E3FA6">
        <w:t xml:space="preserve">Day trips are not eligible for a subsistence allowance. </w:t>
      </w:r>
    </w:p>
    <w:p w14:paraId="42EBAFD5" w14:textId="77777777" w:rsidR="00AB34D0" w:rsidRPr="006E3FA6" w:rsidRDefault="00AB34D0" w:rsidP="00233EEA">
      <w:pPr>
        <w:spacing w:after="0" w:line="240" w:lineRule="auto"/>
        <w:ind w:left="720"/>
      </w:pPr>
    </w:p>
    <w:p w14:paraId="66C550A6" w14:textId="77777777" w:rsidR="00DB4CB4" w:rsidRPr="006E3FA6" w:rsidRDefault="00DB4CB4" w:rsidP="00233EEA">
      <w:pPr>
        <w:spacing w:after="0" w:line="240" w:lineRule="auto"/>
        <w:ind w:left="720"/>
      </w:pPr>
      <w:r w:rsidRPr="006E3FA6">
        <w:t xml:space="preserve">Subsistence funding will not normally be provided </w:t>
      </w:r>
      <w:proofErr w:type="gramStart"/>
      <w:r w:rsidRPr="006E3FA6">
        <w:t>in excess of</w:t>
      </w:r>
      <w:proofErr w:type="gramEnd"/>
      <w:r w:rsidRPr="006E3FA6">
        <w:t xml:space="preserve"> the daily rates noted above. Justification must be provided for requests that exceed the recommended rates. Scanned copies of original receipts must accompany expense report.</w:t>
      </w:r>
    </w:p>
    <w:p w14:paraId="3AB3DB14" w14:textId="77777777" w:rsidR="00DB4CB4" w:rsidRPr="006E3FA6" w:rsidRDefault="00DB4CB4" w:rsidP="00331262">
      <w:pPr>
        <w:pStyle w:val="Heading4"/>
        <w:spacing w:before="0" w:line="240" w:lineRule="auto"/>
        <w:ind w:left="284"/>
        <w:rPr>
          <w:rFonts w:asciiTheme="minorHAnsi" w:hAnsiTheme="minorHAnsi"/>
          <w:color w:val="auto"/>
        </w:rPr>
      </w:pPr>
    </w:p>
    <w:p w14:paraId="20E861E3" w14:textId="77777777" w:rsidR="001203F2" w:rsidRPr="006E3FA6" w:rsidRDefault="001203F2" w:rsidP="00233EEA">
      <w:pPr>
        <w:pStyle w:val="Heading4"/>
        <w:spacing w:before="0" w:line="240" w:lineRule="auto"/>
        <w:ind w:left="720"/>
        <w:rPr>
          <w:rFonts w:asciiTheme="minorHAnsi" w:hAnsiTheme="minorHAnsi"/>
          <w:color w:val="6C1D45"/>
        </w:rPr>
      </w:pPr>
      <w:r w:rsidRPr="006E3FA6">
        <w:rPr>
          <w:rFonts w:asciiTheme="minorHAnsi" w:hAnsiTheme="minorHAnsi"/>
          <w:color w:val="6C1D45"/>
        </w:rPr>
        <w:t>Personnel</w:t>
      </w:r>
    </w:p>
    <w:p w14:paraId="0E001038" w14:textId="045903F6" w:rsidR="00DB4CB4" w:rsidRPr="006E3FA6" w:rsidRDefault="00DB4CB4" w:rsidP="00331262">
      <w:pPr>
        <w:spacing w:after="0" w:line="240" w:lineRule="auto"/>
        <w:ind w:left="720"/>
      </w:pPr>
      <w:r w:rsidRPr="006E3FA6">
        <w:t>Research assistance, both student and technical, essential to the initiation, development and/or achievement of the objectives of the proposed research is eligible for support. The tasks and/or role, salary rates and employment term of the assistant should be clearly defined</w:t>
      </w:r>
      <w:r w:rsidR="005428F9" w:rsidRPr="006E3FA6">
        <w:t xml:space="preserve"> in the Budget Justification</w:t>
      </w:r>
      <w:r w:rsidRPr="006E3FA6">
        <w:t>.</w:t>
      </w:r>
      <w:r w:rsidR="005D3978" w:rsidRPr="006E3FA6">
        <w:t xml:space="preserve"> </w:t>
      </w:r>
      <w:r w:rsidR="00B732AD" w:rsidRPr="006E3FA6">
        <w:t xml:space="preserve">Please consult with your Faculty Office for guidance as needed. </w:t>
      </w:r>
    </w:p>
    <w:p w14:paraId="337AE426" w14:textId="77777777" w:rsidR="001203F2" w:rsidRPr="006E3FA6" w:rsidRDefault="001203F2" w:rsidP="00331262">
      <w:pPr>
        <w:spacing w:after="0" w:line="240" w:lineRule="auto"/>
        <w:ind w:left="720"/>
      </w:pPr>
    </w:p>
    <w:p w14:paraId="0C8F5B4D" w14:textId="77777777" w:rsidR="005428F9" w:rsidRPr="006E3FA6" w:rsidRDefault="005428F9" w:rsidP="00233EEA">
      <w:pPr>
        <w:pStyle w:val="Heading4"/>
        <w:spacing w:before="0" w:line="240" w:lineRule="auto"/>
        <w:ind w:left="720"/>
        <w:rPr>
          <w:rFonts w:asciiTheme="minorHAnsi" w:hAnsiTheme="minorHAnsi"/>
          <w:color w:val="6C1D45"/>
        </w:rPr>
      </w:pPr>
      <w:r w:rsidRPr="006E3FA6">
        <w:rPr>
          <w:rFonts w:asciiTheme="minorHAnsi" w:hAnsiTheme="minorHAnsi"/>
          <w:color w:val="6C1D45"/>
        </w:rPr>
        <w:t>Materials, Supplies, and Services</w:t>
      </w:r>
    </w:p>
    <w:p w14:paraId="72AE561D" w14:textId="77777777" w:rsidR="00DB4CB4" w:rsidRPr="006E3FA6" w:rsidRDefault="00DB4CB4" w:rsidP="00331262">
      <w:pPr>
        <w:spacing w:after="0" w:line="240" w:lineRule="auto"/>
        <w:ind w:left="720"/>
      </w:pPr>
      <w:r w:rsidRPr="006E3FA6">
        <w:t>Reasonable and justified amounts for requirements such as postage, copying, long distance telephone calls</w:t>
      </w:r>
      <w:r w:rsidR="005428F9" w:rsidRPr="006E3FA6">
        <w:t>,</w:t>
      </w:r>
      <w:r w:rsidRPr="006E3FA6">
        <w:t xml:space="preserve"> and specialized data directly related to the proposed research are eligible for consideration.</w:t>
      </w:r>
    </w:p>
    <w:p w14:paraId="252A78C5" w14:textId="77777777" w:rsidR="00DB4CB4" w:rsidRPr="006E3FA6" w:rsidRDefault="00DB4CB4" w:rsidP="00331262">
      <w:pPr>
        <w:pStyle w:val="Heading4"/>
        <w:spacing w:before="0" w:line="240" w:lineRule="auto"/>
        <w:ind w:left="284"/>
        <w:rPr>
          <w:rFonts w:asciiTheme="minorHAnsi" w:hAnsiTheme="minorHAnsi"/>
          <w:color w:val="auto"/>
        </w:rPr>
      </w:pPr>
    </w:p>
    <w:p w14:paraId="6967D623" w14:textId="77777777" w:rsidR="00DE25D4" w:rsidRPr="006E3FA6" w:rsidRDefault="00DE25D4" w:rsidP="00233EEA">
      <w:pPr>
        <w:pStyle w:val="Heading4"/>
        <w:spacing w:before="0" w:line="240" w:lineRule="auto"/>
        <w:ind w:left="720"/>
        <w:rPr>
          <w:rFonts w:asciiTheme="minorHAnsi" w:hAnsiTheme="minorHAnsi"/>
          <w:color w:val="6C1D45"/>
        </w:rPr>
      </w:pPr>
      <w:r w:rsidRPr="006E3FA6">
        <w:rPr>
          <w:rFonts w:asciiTheme="minorHAnsi" w:hAnsiTheme="minorHAnsi"/>
          <w:color w:val="6C1D45"/>
        </w:rPr>
        <w:t>Equipment and Computer Services</w:t>
      </w:r>
    </w:p>
    <w:p w14:paraId="4F8EDBE0" w14:textId="77777777" w:rsidR="00DB4CB4" w:rsidRPr="006E3FA6" w:rsidRDefault="00DB4CB4" w:rsidP="00331262">
      <w:pPr>
        <w:spacing w:after="0" w:line="240" w:lineRule="auto"/>
        <w:ind w:left="720"/>
      </w:pPr>
      <w:r w:rsidRPr="006E3FA6">
        <w:t>Equipment and computing needs are eligible for support only if clearly central to the research goals and the need is well documented. Equipment purchased with ARB funds remains the property of the University.  McMaster's policy with respect to ownership and disposition of equipment applies.</w:t>
      </w:r>
    </w:p>
    <w:p w14:paraId="3695EE14" w14:textId="77777777" w:rsidR="00E04B2D" w:rsidRPr="006E3FA6" w:rsidRDefault="00E04B2D" w:rsidP="00331262">
      <w:pPr>
        <w:spacing w:after="0" w:line="240" w:lineRule="auto"/>
        <w:ind w:left="284"/>
      </w:pPr>
    </w:p>
    <w:p w14:paraId="30DB369B" w14:textId="77777777" w:rsidR="00066CC9" w:rsidRPr="006E3FA6" w:rsidRDefault="00066CC9" w:rsidP="00233EEA">
      <w:pPr>
        <w:pStyle w:val="Heading3"/>
        <w:spacing w:before="0" w:line="240" w:lineRule="auto"/>
        <w:ind w:left="284"/>
        <w:rPr>
          <w:rFonts w:asciiTheme="minorHAnsi" w:hAnsiTheme="minorHAnsi"/>
          <w:color w:val="7A0000"/>
          <w:u w:val="single"/>
        </w:rPr>
      </w:pPr>
      <w:r w:rsidRPr="006E3FA6">
        <w:rPr>
          <w:rFonts w:asciiTheme="minorHAnsi" w:hAnsiTheme="minorHAnsi"/>
          <w:color w:val="7A0000"/>
          <w:u w:val="single"/>
        </w:rPr>
        <w:t>Evaluation Criteria</w:t>
      </w:r>
    </w:p>
    <w:p w14:paraId="64CA9AC5" w14:textId="77777777" w:rsidR="00E04B2D" w:rsidRPr="006E3FA6" w:rsidRDefault="00E04B2D" w:rsidP="003822C6">
      <w:pPr>
        <w:spacing w:after="0" w:line="240" w:lineRule="auto"/>
        <w:ind w:left="284"/>
      </w:pPr>
      <w:r w:rsidRPr="006E3FA6">
        <w:t>SSHRC Explore - Standard Research</w:t>
      </w:r>
      <w:r w:rsidR="005D3978" w:rsidRPr="006E3FA6">
        <w:t xml:space="preserve"> &amp; Research </w:t>
      </w:r>
      <w:r w:rsidRPr="006E3FA6">
        <w:t>Creati</w:t>
      </w:r>
      <w:r w:rsidR="005D3978" w:rsidRPr="006E3FA6">
        <w:t xml:space="preserve">on </w:t>
      </w:r>
      <w:r w:rsidRPr="006E3FA6">
        <w:t>Grant applications will be assessed for the following:</w:t>
      </w:r>
    </w:p>
    <w:p w14:paraId="4BA055D3" w14:textId="77777777" w:rsidR="00E04B2D" w:rsidRPr="006E3FA6" w:rsidRDefault="00E04B2D" w:rsidP="00331262">
      <w:pPr>
        <w:pStyle w:val="ListParagraph"/>
        <w:numPr>
          <w:ilvl w:val="0"/>
          <w:numId w:val="38"/>
        </w:numPr>
        <w:spacing w:after="0" w:line="240" w:lineRule="auto"/>
        <w:ind w:left="851" w:hanging="425"/>
      </w:pPr>
      <w:r w:rsidRPr="006E3FA6">
        <w:t>Clarity, focus and appropriateness of the research objectives, research plan, and the theoretical and methodological approach;</w:t>
      </w:r>
    </w:p>
    <w:p w14:paraId="61096CD2" w14:textId="77777777" w:rsidR="00E04B2D" w:rsidRPr="006E3FA6" w:rsidRDefault="00E04B2D" w:rsidP="00331262">
      <w:pPr>
        <w:pStyle w:val="ListParagraph"/>
        <w:numPr>
          <w:ilvl w:val="0"/>
          <w:numId w:val="38"/>
        </w:numPr>
        <w:spacing w:after="0" w:line="240" w:lineRule="auto"/>
        <w:ind w:left="851" w:hanging="425"/>
      </w:pPr>
      <w:r w:rsidRPr="006E3FA6">
        <w:t>Extent of scholarly content and originality;</w:t>
      </w:r>
    </w:p>
    <w:p w14:paraId="41A0A714" w14:textId="5AE17B69" w:rsidR="00E04B2D" w:rsidRPr="006E3FA6" w:rsidRDefault="00E04B2D" w:rsidP="00331262">
      <w:pPr>
        <w:pStyle w:val="ListParagraph"/>
        <w:numPr>
          <w:ilvl w:val="0"/>
          <w:numId w:val="38"/>
        </w:numPr>
        <w:spacing w:after="0" w:line="240" w:lineRule="auto"/>
        <w:ind w:left="851" w:hanging="425"/>
      </w:pPr>
      <w:r w:rsidRPr="006E3FA6">
        <w:t>Overall contribution of the research to the candidate</w:t>
      </w:r>
      <w:r w:rsidR="00EB725D">
        <w:t>’</w:t>
      </w:r>
      <w:r w:rsidRPr="006E3FA6">
        <w:t>s long range research plan; and</w:t>
      </w:r>
    </w:p>
    <w:p w14:paraId="4B368E98" w14:textId="31F27CF7" w:rsidR="00E04B2D" w:rsidRPr="00647C2D" w:rsidRDefault="00E04B2D" w:rsidP="00331262">
      <w:pPr>
        <w:pStyle w:val="ListParagraph"/>
        <w:numPr>
          <w:ilvl w:val="0"/>
          <w:numId w:val="38"/>
        </w:numPr>
        <w:spacing w:after="0" w:line="240" w:lineRule="auto"/>
        <w:ind w:left="851" w:hanging="425"/>
      </w:pPr>
      <w:r w:rsidRPr="006E3FA6">
        <w:t xml:space="preserve">Applicant’s scholarly contributions relative to the stage of career (e.g., publications, reviews, abstracts, conference presentations over the last </w:t>
      </w:r>
      <w:r w:rsidR="008D5488" w:rsidRPr="006E3FA6">
        <w:t xml:space="preserve">six </w:t>
      </w:r>
      <w:r w:rsidRPr="006E3FA6">
        <w:t>years</w:t>
      </w:r>
      <w:r w:rsidRPr="00647C2D">
        <w:t>).</w:t>
      </w:r>
      <w:r w:rsidR="008D5488" w:rsidRPr="00647C2D">
        <w:t xml:space="preserve"> </w:t>
      </w:r>
      <w:r w:rsidR="00642397" w:rsidRPr="00647C2D">
        <w:t>S</w:t>
      </w:r>
      <w:r w:rsidR="00642397" w:rsidRPr="00647C2D">
        <w:rPr>
          <w:bCs/>
        </w:rPr>
        <w:t xml:space="preserve">ee </w:t>
      </w:r>
      <w:hyperlink r:id="rId23" w:history="1">
        <w:r w:rsidR="00642397" w:rsidRPr="004F104E">
          <w:rPr>
            <w:rStyle w:val="Hyperlink"/>
            <w:bCs/>
            <w:color w:val="0070C0"/>
          </w:rPr>
          <w:t>SSHRC CV</w:t>
        </w:r>
      </w:hyperlink>
      <w:r w:rsidR="00642397" w:rsidRPr="00647C2D">
        <w:rPr>
          <w:bCs/>
        </w:rPr>
        <w:t xml:space="preserve"> and </w:t>
      </w:r>
      <w:hyperlink r:id="rId24" w:anchor="contributions" w:history="1">
        <w:r w:rsidR="00642397" w:rsidRPr="004F104E">
          <w:rPr>
            <w:rStyle w:val="Hyperlink"/>
            <w:bCs/>
            <w:color w:val="0070C0"/>
          </w:rPr>
          <w:t>SSHRC Relevant Research Contributions</w:t>
        </w:r>
      </w:hyperlink>
    </w:p>
    <w:p w14:paraId="07093F61" w14:textId="704649A3" w:rsidR="00240A89" w:rsidRPr="006E3FA6" w:rsidRDefault="00240A89" w:rsidP="00331262">
      <w:pPr>
        <w:spacing w:after="0" w:line="240" w:lineRule="auto"/>
        <w:ind w:left="426"/>
      </w:pPr>
    </w:p>
    <w:p w14:paraId="5383D6B1" w14:textId="77777777" w:rsidR="001205E6" w:rsidRPr="006E3FA6" w:rsidRDefault="001205E6" w:rsidP="00331262">
      <w:pPr>
        <w:spacing w:after="0" w:line="240" w:lineRule="auto"/>
        <w:ind w:left="426"/>
      </w:pPr>
    </w:p>
    <w:p w14:paraId="08D11DC5" w14:textId="7593F22D" w:rsidR="00DD459E" w:rsidRPr="006E3FA6" w:rsidRDefault="0037743D" w:rsidP="00331262">
      <w:pPr>
        <w:pStyle w:val="Heading2"/>
        <w:rPr>
          <w:rFonts w:asciiTheme="minorHAnsi" w:hAnsiTheme="minorHAnsi"/>
          <w:color w:val="0070C0"/>
          <w:sz w:val="22"/>
          <w:szCs w:val="22"/>
          <w:u w:val="single"/>
        </w:rPr>
      </w:pPr>
      <w:bookmarkStart w:id="11" w:name="_3.__SSHRC"/>
      <w:bookmarkEnd w:id="11"/>
      <w:r w:rsidRPr="006E3FA6">
        <w:rPr>
          <w:rFonts w:asciiTheme="minorHAnsi" w:hAnsiTheme="minorHAnsi"/>
          <w:color w:val="0070C0"/>
          <w:sz w:val="22"/>
          <w:szCs w:val="22"/>
          <w:u w:val="single"/>
        </w:rPr>
        <w:t xml:space="preserve">3.  </w:t>
      </w:r>
      <w:r w:rsidR="00DD459E" w:rsidRPr="006E3FA6">
        <w:rPr>
          <w:rFonts w:asciiTheme="minorHAnsi" w:hAnsiTheme="minorHAnsi"/>
          <w:color w:val="0070C0"/>
          <w:sz w:val="22"/>
          <w:szCs w:val="22"/>
          <w:u w:val="single"/>
        </w:rPr>
        <w:t xml:space="preserve">SSHRC Exchange </w:t>
      </w:r>
      <w:r w:rsidR="009E2877" w:rsidRPr="006E3FA6">
        <w:rPr>
          <w:rFonts w:asciiTheme="minorHAnsi" w:hAnsiTheme="minorHAnsi"/>
          <w:color w:val="0070C0"/>
          <w:sz w:val="22"/>
          <w:szCs w:val="22"/>
          <w:u w:val="single"/>
        </w:rPr>
        <w:t xml:space="preserve">- </w:t>
      </w:r>
      <w:r w:rsidR="00DD459E" w:rsidRPr="006E3FA6">
        <w:rPr>
          <w:rFonts w:asciiTheme="minorHAnsi" w:hAnsiTheme="minorHAnsi"/>
          <w:color w:val="0070C0"/>
          <w:sz w:val="22"/>
          <w:szCs w:val="22"/>
          <w:u w:val="single"/>
        </w:rPr>
        <w:t>Scholarly Publications Grant</w:t>
      </w:r>
    </w:p>
    <w:p w14:paraId="596FC483" w14:textId="77777777" w:rsidR="00DD459E" w:rsidRPr="006E3FA6" w:rsidRDefault="00DD459E" w:rsidP="00783BAD">
      <w:pPr>
        <w:spacing w:after="0" w:line="240" w:lineRule="auto"/>
      </w:pPr>
    </w:p>
    <w:p w14:paraId="2FD2CD67" w14:textId="77777777" w:rsidR="00240A89" w:rsidRPr="006E3FA6" w:rsidRDefault="00240A89" w:rsidP="00240A89">
      <w:pPr>
        <w:spacing w:after="0" w:line="240" w:lineRule="auto"/>
        <w:ind w:left="284"/>
        <w:rPr>
          <w:b/>
          <w:color w:val="7A0000"/>
          <w:u w:val="single"/>
        </w:rPr>
      </w:pPr>
      <w:r w:rsidRPr="006E3FA6">
        <w:rPr>
          <w:b/>
          <w:color w:val="7A0000"/>
          <w:u w:val="single"/>
        </w:rPr>
        <w:t>Objectives</w:t>
      </w:r>
    </w:p>
    <w:p w14:paraId="451EACE7" w14:textId="587B39A0" w:rsidR="00240A89" w:rsidRPr="006E3FA6" w:rsidRDefault="00240A89" w:rsidP="00331262">
      <w:pPr>
        <w:spacing w:after="0" w:line="240" w:lineRule="auto"/>
        <w:ind w:left="284"/>
      </w:pPr>
      <w:r w:rsidRPr="006E3FA6">
        <w:t xml:space="preserve">The objective of the SSHRC Exchange </w:t>
      </w:r>
      <w:r w:rsidR="0070061A" w:rsidRPr="006E3FA6">
        <w:t>- S</w:t>
      </w:r>
      <w:r w:rsidRPr="006E3FA6">
        <w:t>cholarly Publications Gran</w:t>
      </w:r>
      <w:r w:rsidR="0070061A" w:rsidRPr="006E3FA6">
        <w:t>t</w:t>
      </w:r>
      <w:r w:rsidRPr="006E3FA6">
        <w:t xml:space="preserve"> is to support and enhance manuscripts accepted for publication by a press that employs peer-review.</w:t>
      </w:r>
    </w:p>
    <w:p w14:paraId="44DBF482" w14:textId="77777777" w:rsidR="00240A89" w:rsidRPr="006E3FA6" w:rsidRDefault="00240A89" w:rsidP="00331262">
      <w:pPr>
        <w:spacing w:after="0" w:line="240" w:lineRule="auto"/>
        <w:ind w:left="284"/>
        <w:rPr>
          <w:b/>
        </w:rPr>
      </w:pPr>
    </w:p>
    <w:p w14:paraId="453FE9DB" w14:textId="77777777" w:rsidR="00240A89" w:rsidRPr="006E3FA6" w:rsidRDefault="00EF2D37" w:rsidP="00331262">
      <w:pPr>
        <w:spacing w:after="0" w:line="240" w:lineRule="auto"/>
        <w:ind w:left="284"/>
      </w:pPr>
      <w:r w:rsidRPr="006E3FA6">
        <w:rPr>
          <w:b/>
          <w:bCs/>
          <w:i/>
          <w:color w:val="443A28" w:themeColor="background2" w:themeShade="40"/>
        </w:rPr>
        <w:t>Please Note:</w:t>
      </w:r>
      <w:r w:rsidRPr="006E3FA6">
        <w:rPr>
          <w:bCs/>
          <w:i/>
        </w:rPr>
        <w:t xml:space="preserve"> </w:t>
      </w:r>
      <w:r w:rsidR="00E13AE7" w:rsidRPr="006E3FA6">
        <w:rPr>
          <w:bCs/>
          <w:i/>
        </w:rPr>
        <w:t xml:space="preserve"> </w:t>
      </w:r>
      <w:r w:rsidR="00240A89" w:rsidRPr="006E3FA6">
        <w:t xml:space="preserve">Any publications supported by ARB funds shall acknowledge the assistance from the University. </w:t>
      </w:r>
    </w:p>
    <w:p w14:paraId="3FFB4D1A" w14:textId="77777777" w:rsidR="00240A89" w:rsidRPr="006E3FA6" w:rsidRDefault="00240A89" w:rsidP="00331262">
      <w:pPr>
        <w:spacing w:after="0" w:line="240" w:lineRule="auto"/>
        <w:ind w:left="284"/>
      </w:pPr>
    </w:p>
    <w:p w14:paraId="26C9B06B" w14:textId="77777777" w:rsidR="00240A89" w:rsidRPr="006E3FA6" w:rsidRDefault="00240A89" w:rsidP="00240A89">
      <w:pPr>
        <w:spacing w:after="0" w:line="240" w:lineRule="auto"/>
        <w:ind w:left="284"/>
        <w:rPr>
          <w:b/>
          <w:color w:val="7A0000"/>
          <w:u w:val="single"/>
        </w:rPr>
      </w:pPr>
      <w:r w:rsidRPr="006E3FA6">
        <w:rPr>
          <w:b/>
          <w:color w:val="7A0000"/>
          <w:u w:val="single"/>
        </w:rPr>
        <w:t>Award Value</w:t>
      </w:r>
    </w:p>
    <w:p w14:paraId="2281C7C6" w14:textId="1CE88CF7" w:rsidR="00240A89" w:rsidRPr="006E3FA6" w:rsidRDefault="00240A89" w:rsidP="00331262">
      <w:pPr>
        <w:spacing w:after="0" w:line="240" w:lineRule="auto"/>
        <w:ind w:left="284"/>
        <w:rPr>
          <w:lang w:val="en-CA"/>
        </w:rPr>
      </w:pPr>
      <w:r w:rsidRPr="006E3FA6">
        <w:t xml:space="preserve">The maximum allowable for the SSHRC Explore </w:t>
      </w:r>
      <w:r w:rsidR="0070061A" w:rsidRPr="006E3FA6">
        <w:t>- S</w:t>
      </w:r>
      <w:r w:rsidRPr="006E3FA6">
        <w:t>tandard Research</w:t>
      </w:r>
      <w:r w:rsidR="005D3978" w:rsidRPr="006E3FA6">
        <w:t xml:space="preserve"> and Research </w:t>
      </w:r>
      <w:r w:rsidRPr="006E3FA6">
        <w:t>Creati</w:t>
      </w:r>
      <w:r w:rsidR="005D3978" w:rsidRPr="006E3FA6">
        <w:t>on Gran</w:t>
      </w:r>
      <w:r w:rsidR="0070061A" w:rsidRPr="006E3FA6">
        <w:t>t</w:t>
      </w:r>
      <w:r w:rsidR="005D3978" w:rsidRPr="006E3FA6">
        <w:t xml:space="preserve"> </w:t>
      </w:r>
      <w:r w:rsidRPr="006E3FA6">
        <w:t xml:space="preserve">and SSHRC Exchange </w:t>
      </w:r>
      <w:r w:rsidR="0070061A" w:rsidRPr="006E3FA6">
        <w:t>- S</w:t>
      </w:r>
      <w:r w:rsidRPr="006E3FA6">
        <w:t>cholarly Publications Gran</w:t>
      </w:r>
      <w:r w:rsidR="0070061A" w:rsidRPr="006E3FA6">
        <w:t>t</w:t>
      </w:r>
      <w:r w:rsidRPr="006E3FA6">
        <w:t xml:space="preserve"> combined is $</w:t>
      </w:r>
      <w:r w:rsidR="007B7A8E">
        <w:t>10</w:t>
      </w:r>
      <w:r w:rsidRPr="006E3FA6">
        <w:t>,000 per Researcher per competition Cycle and the award is granted</w:t>
      </w:r>
      <w:r w:rsidRPr="006E3FA6">
        <w:rPr>
          <w:lang w:val="en-CA"/>
        </w:rPr>
        <w:t xml:space="preserve"> for a period of 24 months beginning January 1st. Any grant funds not used by the end of that period will be returned to the ARB.</w:t>
      </w:r>
    </w:p>
    <w:p w14:paraId="67D9B4AB" w14:textId="77777777" w:rsidR="003822C6" w:rsidRPr="006E3FA6" w:rsidRDefault="003822C6" w:rsidP="00331262">
      <w:pPr>
        <w:spacing w:after="0" w:line="240" w:lineRule="auto"/>
        <w:ind w:left="284"/>
        <w:rPr>
          <w:lang w:val="en-CA"/>
        </w:rPr>
      </w:pPr>
    </w:p>
    <w:p w14:paraId="25F4F7BD" w14:textId="77777777" w:rsidR="00240A89" w:rsidRPr="006E3FA6" w:rsidRDefault="00240A89" w:rsidP="00240A89">
      <w:pPr>
        <w:spacing w:after="0" w:line="240" w:lineRule="auto"/>
        <w:ind w:left="284"/>
        <w:rPr>
          <w:bCs/>
          <w:lang w:val="en-CA"/>
        </w:rPr>
      </w:pPr>
      <w:r w:rsidRPr="006E3FA6">
        <w:rPr>
          <w:b/>
          <w:bCs/>
          <w:i/>
          <w:color w:val="443A28" w:themeColor="background2" w:themeShade="40"/>
        </w:rPr>
        <w:t>Please Note:</w:t>
      </w:r>
      <w:r w:rsidRPr="006E3FA6">
        <w:rPr>
          <w:b/>
          <w:bCs/>
          <w:color w:val="443A28" w:themeColor="background2" w:themeShade="40"/>
        </w:rPr>
        <w:t> </w:t>
      </w:r>
      <w:r w:rsidRPr="006E3FA6">
        <w:rPr>
          <w:b/>
          <w:bCs/>
        </w:rPr>
        <w:t xml:space="preserve"> </w:t>
      </w:r>
      <w:r w:rsidRPr="006E3FA6">
        <w:rPr>
          <w:bCs/>
          <w:position w:val="1"/>
          <w:lang w:val="en-CA"/>
        </w:rPr>
        <w:t>Depending on the</w:t>
      </w:r>
      <w:r w:rsidRPr="006E3FA6">
        <w:rPr>
          <w:bCs/>
          <w:spacing w:val="14"/>
          <w:position w:val="1"/>
          <w:lang w:val="en-CA"/>
        </w:rPr>
        <w:t xml:space="preserve"> </w:t>
      </w:r>
      <w:r w:rsidRPr="006E3FA6">
        <w:rPr>
          <w:bCs/>
          <w:position w:val="1"/>
          <w:lang w:val="en-CA"/>
        </w:rPr>
        <w:t>number</w:t>
      </w:r>
      <w:r w:rsidRPr="006E3FA6">
        <w:rPr>
          <w:bCs/>
          <w:spacing w:val="12"/>
          <w:position w:val="1"/>
          <w:lang w:val="en-CA"/>
        </w:rPr>
        <w:t xml:space="preserve"> </w:t>
      </w:r>
      <w:r w:rsidRPr="006E3FA6">
        <w:rPr>
          <w:bCs/>
          <w:position w:val="1"/>
          <w:lang w:val="en-CA"/>
        </w:rPr>
        <w:t>of</w:t>
      </w:r>
      <w:r w:rsidRPr="006E3FA6">
        <w:rPr>
          <w:bCs/>
          <w:spacing w:val="10"/>
          <w:position w:val="1"/>
          <w:lang w:val="en-CA"/>
        </w:rPr>
        <w:t xml:space="preserve"> </w:t>
      </w:r>
      <w:r w:rsidRPr="006E3FA6">
        <w:rPr>
          <w:bCs/>
          <w:position w:val="1"/>
          <w:lang w:val="en-CA"/>
        </w:rPr>
        <w:t>hig</w:t>
      </w:r>
      <w:r w:rsidRPr="006E3FA6">
        <w:rPr>
          <w:bCs/>
          <w:spacing w:val="1"/>
          <w:position w:val="1"/>
          <w:lang w:val="en-CA"/>
        </w:rPr>
        <w:t>h</w:t>
      </w:r>
      <w:r w:rsidRPr="006E3FA6">
        <w:rPr>
          <w:bCs/>
          <w:spacing w:val="6"/>
          <w:position w:val="1"/>
          <w:lang w:val="en-CA"/>
        </w:rPr>
        <w:t>-</w:t>
      </w:r>
      <w:r w:rsidRPr="006E3FA6">
        <w:rPr>
          <w:bCs/>
          <w:position w:val="1"/>
          <w:lang w:val="en-CA"/>
        </w:rPr>
        <w:t>quality</w:t>
      </w:r>
      <w:r w:rsidRPr="006E3FA6">
        <w:rPr>
          <w:bCs/>
          <w:spacing w:val="19"/>
          <w:position w:val="1"/>
          <w:lang w:val="en-CA"/>
        </w:rPr>
        <w:t xml:space="preserve"> </w:t>
      </w:r>
      <w:r w:rsidRPr="006E3FA6">
        <w:rPr>
          <w:bCs/>
          <w:position w:val="1"/>
          <w:lang w:val="en-CA"/>
        </w:rPr>
        <w:t>applications received</w:t>
      </w:r>
      <w:r w:rsidRPr="006E3FA6">
        <w:rPr>
          <w:bCs/>
          <w:spacing w:val="26"/>
          <w:position w:val="1"/>
          <w:lang w:val="en-CA"/>
        </w:rPr>
        <w:t>,</w:t>
      </w:r>
      <w:r w:rsidRPr="006E3FA6">
        <w:rPr>
          <w:bCs/>
          <w:spacing w:val="25"/>
          <w:position w:val="1"/>
          <w:lang w:val="en-CA"/>
        </w:rPr>
        <w:t xml:space="preserve"> </w:t>
      </w:r>
      <w:r w:rsidRPr="006E3FA6">
        <w:rPr>
          <w:bCs/>
          <w:position w:val="1"/>
          <w:lang w:val="en-CA"/>
        </w:rPr>
        <w:t>the ARB</w:t>
      </w:r>
      <w:r w:rsidRPr="006E3FA6">
        <w:rPr>
          <w:bCs/>
          <w:spacing w:val="8"/>
          <w:position w:val="1"/>
          <w:lang w:val="en-CA"/>
        </w:rPr>
        <w:t xml:space="preserve"> may be</w:t>
      </w:r>
      <w:r w:rsidRPr="006E3FA6">
        <w:rPr>
          <w:bCs/>
          <w:spacing w:val="12"/>
          <w:position w:val="1"/>
          <w:lang w:val="en-CA"/>
        </w:rPr>
        <w:t xml:space="preserve"> </w:t>
      </w:r>
      <w:r w:rsidRPr="006E3FA6">
        <w:rPr>
          <w:bCs/>
          <w:position w:val="1"/>
          <w:lang w:val="en-CA"/>
        </w:rPr>
        <w:t>unable</w:t>
      </w:r>
      <w:r w:rsidRPr="006E3FA6">
        <w:rPr>
          <w:bCs/>
          <w:spacing w:val="20"/>
          <w:position w:val="1"/>
          <w:lang w:val="en-CA"/>
        </w:rPr>
        <w:t xml:space="preserve"> </w:t>
      </w:r>
      <w:r w:rsidRPr="006E3FA6">
        <w:rPr>
          <w:bCs/>
          <w:position w:val="1"/>
          <w:lang w:val="en-CA"/>
        </w:rPr>
        <w:t>to</w:t>
      </w:r>
      <w:r w:rsidRPr="006E3FA6">
        <w:rPr>
          <w:bCs/>
          <w:spacing w:val="3"/>
          <w:position w:val="1"/>
          <w:lang w:val="en-CA"/>
        </w:rPr>
        <w:t xml:space="preserve"> </w:t>
      </w:r>
      <w:r w:rsidRPr="006E3FA6">
        <w:rPr>
          <w:bCs/>
          <w:position w:val="1"/>
          <w:lang w:val="en-CA"/>
        </w:rPr>
        <w:t>fund</w:t>
      </w:r>
      <w:r w:rsidRPr="006E3FA6">
        <w:rPr>
          <w:bCs/>
          <w:spacing w:val="5"/>
          <w:position w:val="1"/>
          <w:lang w:val="en-CA"/>
        </w:rPr>
        <w:t xml:space="preserve"> </w:t>
      </w:r>
      <w:r w:rsidRPr="006E3FA6">
        <w:rPr>
          <w:bCs/>
          <w:position w:val="1"/>
          <w:lang w:val="en-CA"/>
        </w:rPr>
        <w:t xml:space="preserve">all </w:t>
      </w:r>
      <w:r w:rsidRPr="006E3FA6">
        <w:rPr>
          <w:bCs/>
          <w:lang w:val="en-CA"/>
        </w:rPr>
        <w:t>applications</w:t>
      </w:r>
      <w:r w:rsidRPr="006E3FA6">
        <w:rPr>
          <w:bCs/>
          <w:spacing w:val="26"/>
          <w:lang w:val="en-CA"/>
        </w:rPr>
        <w:t xml:space="preserve"> </w:t>
      </w:r>
      <w:r w:rsidRPr="006E3FA6">
        <w:rPr>
          <w:bCs/>
          <w:lang w:val="en-CA"/>
        </w:rPr>
        <w:t>at</w:t>
      </w:r>
      <w:r w:rsidRPr="006E3FA6">
        <w:rPr>
          <w:bCs/>
          <w:spacing w:val="-1"/>
          <w:lang w:val="en-CA"/>
        </w:rPr>
        <w:t xml:space="preserve"> </w:t>
      </w:r>
      <w:r w:rsidRPr="006E3FA6">
        <w:rPr>
          <w:bCs/>
          <w:lang w:val="en-CA"/>
        </w:rPr>
        <w:t>the</w:t>
      </w:r>
      <w:r w:rsidRPr="006E3FA6">
        <w:rPr>
          <w:bCs/>
          <w:spacing w:val="14"/>
          <w:lang w:val="en-CA"/>
        </w:rPr>
        <w:t xml:space="preserve"> </w:t>
      </w:r>
      <w:r w:rsidRPr="006E3FA6">
        <w:rPr>
          <w:bCs/>
          <w:lang w:val="en-CA"/>
        </w:rPr>
        <w:t>level</w:t>
      </w:r>
      <w:r w:rsidRPr="006E3FA6">
        <w:rPr>
          <w:bCs/>
          <w:spacing w:val="18"/>
          <w:lang w:val="en-CA"/>
        </w:rPr>
        <w:t xml:space="preserve"> </w:t>
      </w:r>
      <w:r w:rsidRPr="006E3FA6">
        <w:rPr>
          <w:bCs/>
          <w:lang w:val="en-CA"/>
        </w:rPr>
        <w:t>requested. </w:t>
      </w:r>
    </w:p>
    <w:p w14:paraId="41D0CB8D" w14:textId="77777777" w:rsidR="00240A89" w:rsidRPr="006E3FA6" w:rsidRDefault="00240A89" w:rsidP="00240A89">
      <w:pPr>
        <w:spacing w:after="0" w:line="240" w:lineRule="auto"/>
        <w:ind w:left="284"/>
        <w:rPr>
          <w:b/>
        </w:rPr>
      </w:pPr>
    </w:p>
    <w:p w14:paraId="021DBB6A" w14:textId="77777777" w:rsidR="00240A89" w:rsidRPr="006E3FA6" w:rsidRDefault="00240A89" w:rsidP="00233EEA">
      <w:pPr>
        <w:spacing w:after="0" w:line="240" w:lineRule="auto"/>
        <w:ind w:left="284"/>
        <w:rPr>
          <w:b/>
          <w:color w:val="7A0000"/>
          <w:u w:val="single"/>
        </w:rPr>
      </w:pPr>
      <w:r w:rsidRPr="006E3FA6">
        <w:rPr>
          <w:b/>
          <w:color w:val="7A0000"/>
          <w:u w:val="single"/>
        </w:rPr>
        <w:t>Competition Dates</w:t>
      </w:r>
    </w:p>
    <w:p w14:paraId="49AB8728" w14:textId="580A489C" w:rsidR="00240A89" w:rsidRPr="006E3FA6" w:rsidRDefault="00240A89" w:rsidP="00331262">
      <w:pPr>
        <w:spacing w:after="0" w:line="240" w:lineRule="auto"/>
        <w:ind w:left="284"/>
      </w:pPr>
      <w:r w:rsidRPr="006E3FA6">
        <w:t xml:space="preserve">SSHRC Exchange </w:t>
      </w:r>
      <w:r w:rsidR="0070061A" w:rsidRPr="006E3FA6">
        <w:t>- S</w:t>
      </w:r>
      <w:r w:rsidRPr="006E3FA6">
        <w:t>cholarly Publications Gran</w:t>
      </w:r>
      <w:r w:rsidR="0070061A" w:rsidRPr="006E3FA6">
        <w:t>t</w:t>
      </w:r>
      <w:r w:rsidRPr="006E3FA6">
        <w:t xml:space="preserve"> competitions are held each Fall with a deadline of October 31.</w:t>
      </w:r>
    </w:p>
    <w:p w14:paraId="546CE578" w14:textId="77777777" w:rsidR="00240A89" w:rsidRPr="006E3FA6" w:rsidRDefault="00240A89" w:rsidP="00331262">
      <w:pPr>
        <w:spacing w:after="0" w:line="240" w:lineRule="auto"/>
        <w:ind w:left="284"/>
      </w:pPr>
    </w:p>
    <w:p w14:paraId="70AC1890" w14:textId="467954C3" w:rsidR="00240A89" w:rsidRPr="006E3FA6" w:rsidRDefault="00240A89" w:rsidP="00331262">
      <w:pPr>
        <w:spacing w:after="0" w:line="240" w:lineRule="auto"/>
        <w:ind w:left="284"/>
      </w:pPr>
      <w:r w:rsidRPr="006E3FA6">
        <w:t xml:space="preserve">SSHRC Exchange </w:t>
      </w:r>
      <w:r w:rsidR="0070061A" w:rsidRPr="006E3FA6">
        <w:t>- S</w:t>
      </w:r>
      <w:r w:rsidRPr="006E3FA6">
        <w:t>cholarly Publications Gran</w:t>
      </w:r>
      <w:r w:rsidR="0070061A" w:rsidRPr="006E3FA6">
        <w:t>ts</w:t>
      </w:r>
      <w:r w:rsidRPr="006E3FA6">
        <w:t xml:space="preserve"> can be applied retroactively within a </w:t>
      </w:r>
      <w:proofErr w:type="gramStart"/>
      <w:r w:rsidRPr="006E3FA6">
        <w:t>12 month</w:t>
      </w:r>
      <w:proofErr w:type="gramEnd"/>
      <w:r w:rsidRPr="006E3FA6">
        <w:t xml:space="preserve"> period, e.g. all publication costs between January 1 to December 2017 could be submitted for adjudication in the Fall 201</w:t>
      </w:r>
      <w:r w:rsidR="00F2644D" w:rsidRPr="006E3FA6">
        <w:t>8</w:t>
      </w:r>
      <w:r w:rsidRPr="006E3FA6">
        <w:t xml:space="preserve"> applications (with the grant start date of January 1 201</w:t>
      </w:r>
      <w:r w:rsidR="00F2644D" w:rsidRPr="006E3FA6">
        <w:t>9</w:t>
      </w:r>
      <w:r w:rsidRPr="006E3FA6">
        <w:t>).</w:t>
      </w:r>
    </w:p>
    <w:p w14:paraId="153742B4" w14:textId="77777777" w:rsidR="00F2644D" w:rsidRPr="006E3FA6" w:rsidRDefault="00F2644D" w:rsidP="00F2644D">
      <w:pPr>
        <w:pStyle w:val="Heading3"/>
        <w:ind w:left="284"/>
        <w:rPr>
          <w:rFonts w:asciiTheme="minorHAnsi" w:hAnsiTheme="minorHAnsi"/>
          <w:color w:val="7A0000"/>
          <w:u w:val="single"/>
        </w:rPr>
      </w:pPr>
      <w:r w:rsidRPr="006E3FA6">
        <w:rPr>
          <w:rFonts w:asciiTheme="minorHAnsi" w:hAnsiTheme="minorHAnsi"/>
          <w:color w:val="7A0000"/>
          <w:u w:val="single"/>
        </w:rPr>
        <w:t>Application Process</w:t>
      </w:r>
    </w:p>
    <w:p w14:paraId="0406A692" w14:textId="4DA45466" w:rsidR="00240A89" w:rsidRPr="006E3FA6" w:rsidRDefault="00F2644D" w:rsidP="00E13AE7">
      <w:pPr>
        <w:ind w:left="284"/>
      </w:pPr>
      <w:r w:rsidRPr="006E3FA6">
        <w:t>By the application deadline, applicants must submit to ROADS one signed paper copy or one electronic copy.</w:t>
      </w:r>
      <w:r w:rsidR="00E13AE7" w:rsidRPr="006E3FA6">
        <w:t xml:space="preserve"> </w:t>
      </w:r>
      <w:r w:rsidR="00240A89" w:rsidRPr="006E3FA6">
        <w:t xml:space="preserve">A complete SSHRC Exchange </w:t>
      </w:r>
      <w:r w:rsidR="0070061A" w:rsidRPr="006E3FA6">
        <w:t>- S</w:t>
      </w:r>
      <w:r w:rsidR="00240A89" w:rsidRPr="006E3FA6">
        <w:t>cholarly Publications Gran</w:t>
      </w:r>
      <w:r w:rsidR="0070061A" w:rsidRPr="006E3FA6">
        <w:t>t</w:t>
      </w:r>
      <w:r w:rsidR="00240A89" w:rsidRPr="006E3FA6">
        <w:t xml:space="preserve"> application consists of:</w:t>
      </w:r>
    </w:p>
    <w:p w14:paraId="0E30E4D7" w14:textId="24CBAF8A" w:rsidR="00240A89" w:rsidRPr="006E3FA6" w:rsidRDefault="00240A89" w:rsidP="00233EEA">
      <w:pPr>
        <w:pStyle w:val="ListParagraph"/>
        <w:numPr>
          <w:ilvl w:val="0"/>
          <w:numId w:val="32"/>
        </w:numPr>
        <w:spacing w:after="0" w:line="240" w:lineRule="auto"/>
      </w:pPr>
      <w:r w:rsidRPr="006E3FA6">
        <w:t>ARB Application Form</w:t>
      </w:r>
      <w:r w:rsidR="0070061A" w:rsidRPr="006E3FA6">
        <w:t xml:space="preserve"> (s</w:t>
      </w:r>
      <w:r w:rsidRPr="006E3FA6">
        <w:t xml:space="preserve">igned by </w:t>
      </w:r>
      <w:r w:rsidR="00F2644D" w:rsidRPr="006E3FA6">
        <w:t xml:space="preserve">the applicant and the </w:t>
      </w:r>
      <w:r w:rsidRPr="006E3FA6">
        <w:t>Department Chair or their delegate); and</w:t>
      </w:r>
    </w:p>
    <w:p w14:paraId="04C7CF9F" w14:textId="77777777" w:rsidR="00240A89" w:rsidRPr="006E3FA6" w:rsidRDefault="00240A89" w:rsidP="00233EEA">
      <w:pPr>
        <w:pStyle w:val="ListParagraph"/>
        <w:numPr>
          <w:ilvl w:val="0"/>
          <w:numId w:val="32"/>
        </w:numPr>
        <w:spacing w:after="0" w:line="240" w:lineRule="auto"/>
      </w:pPr>
      <w:r w:rsidRPr="006E3FA6">
        <w:t xml:space="preserve">Supporting Documentation: </w:t>
      </w:r>
      <w:r w:rsidRPr="006E3FA6">
        <w:tab/>
      </w:r>
    </w:p>
    <w:p w14:paraId="0074AD21" w14:textId="77777777" w:rsidR="00240A89" w:rsidRPr="006E3FA6" w:rsidRDefault="00240A89" w:rsidP="00233EEA">
      <w:pPr>
        <w:numPr>
          <w:ilvl w:val="1"/>
          <w:numId w:val="34"/>
        </w:numPr>
        <w:spacing w:after="0" w:line="240" w:lineRule="auto"/>
        <w:ind w:left="1276" w:hanging="425"/>
        <w:rPr>
          <w:bCs/>
        </w:rPr>
      </w:pPr>
      <w:r w:rsidRPr="006E3FA6">
        <w:rPr>
          <w:bCs/>
        </w:rPr>
        <w:t>budget justification (maximum 1 page)</w:t>
      </w:r>
    </w:p>
    <w:p w14:paraId="17227E78" w14:textId="77777777" w:rsidR="00240A89" w:rsidRPr="006E3FA6" w:rsidRDefault="00240A89" w:rsidP="00233EEA">
      <w:pPr>
        <w:numPr>
          <w:ilvl w:val="1"/>
          <w:numId w:val="34"/>
        </w:numPr>
        <w:spacing w:after="0" w:line="240" w:lineRule="auto"/>
        <w:ind w:left="1276" w:hanging="425"/>
        <w:rPr>
          <w:bCs/>
        </w:rPr>
      </w:pPr>
      <w:r w:rsidRPr="006E3FA6">
        <w:rPr>
          <w:bCs/>
        </w:rPr>
        <w:t xml:space="preserve">summary and table of contents (maximum 1 page); </w:t>
      </w:r>
    </w:p>
    <w:p w14:paraId="1A49BE49" w14:textId="77777777" w:rsidR="001B161F" w:rsidRPr="001B161F" w:rsidRDefault="005B0032" w:rsidP="001C2C49">
      <w:pPr>
        <w:pStyle w:val="ListParagraph"/>
        <w:numPr>
          <w:ilvl w:val="1"/>
          <w:numId w:val="34"/>
        </w:numPr>
        <w:spacing w:after="0" w:line="240" w:lineRule="auto"/>
        <w:ind w:left="1276" w:hanging="425"/>
        <w:rPr>
          <w:bCs/>
        </w:rPr>
      </w:pPr>
      <w:r w:rsidRPr="004F104E">
        <w:rPr>
          <w:bCs/>
        </w:rPr>
        <w:t xml:space="preserve">detailed description </w:t>
      </w:r>
      <w:r w:rsidR="00240A89" w:rsidRPr="004F104E">
        <w:rPr>
          <w:bCs/>
        </w:rPr>
        <w:t>(maximum 2 pages);</w:t>
      </w:r>
      <w:r w:rsidRPr="004F104E">
        <w:rPr>
          <w:bCs/>
        </w:rPr>
        <w:t xml:space="preserve"> </w:t>
      </w:r>
      <w:r w:rsidRPr="004F104E">
        <w:rPr>
          <w:rStyle w:val="cf01"/>
          <w:rFonts w:asciiTheme="minorHAnsi" w:eastAsia="Times New Roman" w:hAnsiTheme="minorHAnsi"/>
        </w:rPr>
        <w:t xml:space="preserve">include any data management strategies, as applicable. See </w:t>
      </w:r>
      <w:hyperlink r:id="rId25" w:history="1">
        <w:r w:rsidRPr="004F104E">
          <w:rPr>
            <w:rStyle w:val="Hyperlink"/>
            <w:rFonts w:eastAsia="Times New Roman" w:cs="Segoe UI"/>
            <w:color w:val="0070C0"/>
          </w:rPr>
          <w:t>Tri-Agency Data Management Policy</w:t>
        </w:r>
      </w:hyperlink>
      <w:r w:rsidR="004F104E" w:rsidRPr="004F104E">
        <w:rPr>
          <w:rFonts w:eastAsia="Times New Roman"/>
        </w:rPr>
        <w:t xml:space="preserve"> </w:t>
      </w:r>
    </w:p>
    <w:p w14:paraId="2510BED0" w14:textId="12567817" w:rsidR="00240A89" w:rsidRPr="004F104E" w:rsidRDefault="00240A89" w:rsidP="001C2C49">
      <w:pPr>
        <w:pStyle w:val="ListParagraph"/>
        <w:numPr>
          <w:ilvl w:val="1"/>
          <w:numId w:val="34"/>
        </w:numPr>
        <w:spacing w:after="0" w:line="240" w:lineRule="auto"/>
        <w:ind w:left="1276" w:hanging="425"/>
        <w:rPr>
          <w:bCs/>
        </w:rPr>
      </w:pPr>
      <w:r w:rsidRPr="004F104E">
        <w:rPr>
          <w:bCs/>
        </w:rPr>
        <w:t>relation to existing publications and long-term research goals (maximum 1 page)</w:t>
      </w:r>
    </w:p>
    <w:p w14:paraId="36B99DEE" w14:textId="77777777" w:rsidR="00DB3E6A" w:rsidRPr="00DB3E6A" w:rsidRDefault="00372060" w:rsidP="00DB3E6A">
      <w:pPr>
        <w:pStyle w:val="ListParagraph"/>
        <w:numPr>
          <w:ilvl w:val="0"/>
          <w:numId w:val="32"/>
        </w:numPr>
        <w:tabs>
          <w:tab w:val="right" w:pos="720"/>
        </w:tabs>
        <w:spacing w:after="0" w:line="240" w:lineRule="auto"/>
        <w:rPr>
          <w:rFonts w:ascii="Garamond" w:hAnsi="Garamond"/>
          <w:bCs/>
          <w:color w:val="0070C0"/>
        </w:rPr>
      </w:pPr>
      <w:hyperlink r:id="rId26" w:history="1">
        <w:r w:rsidR="00DB3E6A" w:rsidRPr="00DB3E6A">
          <w:rPr>
            <w:rStyle w:val="Hyperlink"/>
            <w:rFonts w:ascii="Garamond" w:hAnsi="Garamond"/>
            <w:bCs/>
            <w:color w:val="0070C0"/>
          </w:rPr>
          <w:t>SSHRC CV</w:t>
        </w:r>
      </w:hyperlink>
      <w:r w:rsidR="00DB3E6A" w:rsidRPr="00DB3E6A">
        <w:rPr>
          <w:rFonts w:ascii="Garamond" w:hAnsi="Garamond"/>
          <w:bCs/>
          <w:color w:val="0070C0"/>
        </w:rPr>
        <w:t xml:space="preserve"> and </w:t>
      </w:r>
      <w:hyperlink r:id="rId27" w:anchor="contributions" w:history="1">
        <w:r w:rsidR="00DB3E6A" w:rsidRPr="00DB3E6A">
          <w:rPr>
            <w:rStyle w:val="Hyperlink"/>
            <w:rFonts w:ascii="Garamond" w:hAnsi="Garamond"/>
            <w:color w:val="0070C0"/>
          </w:rPr>
          <w:t>SSHRC Relevant Research Contributions</w:t>
        </w:r>
      </w:hyperlink>
      <w:r w:rsidR="00DB3E6A" w:rsidRPr="00DB3E6A">
        <w:rPr>
          <w:rFonts w:ascii="Garamond" w:hAnsi="Garamond"/>
          <w:i/>
          <w:iCs/>
          <w:color w:val="0070C0"/>
        </w:rPr>
        <w:t xml:space="preserve"> </w:t>
      </w:r>
      <w:r w:rsidR="00DB3E6A" w:rsidRPr="00DB3E6A">
        <w:rPr>
          <w:rFonts w:ascii="Garamond" w:hAnsi="Garamond"/>
          <w:bCs/>
          <w:color w:val="0070C0"/>
        </w:rPr>
        <w:t xml:space="preserve">or </w:t>
      </w:r>
      <w:hyperlink r:id="rId28" w:history="1">
        <w:r w:rsidR="00DB3E6A" w:rsidRPr="00DB3E6A">
          <w:rPr>
            <w:rStyle w:val="Hyperlink"/>
            <w:rFonts w:ascii="Garamond" w:hAnsi="Garamond"/>
            <w:bCs/>
            <w:color w:val="0070C0"/>
          </w:rPr>
          <w:t>Common CV (CCV)</w:t>
        </w:r>
      </w:hyperlink>
    </w:p>
    <w:p w14:paraId="763634F8" w14:textId="2C2D699A" w:rsidR="00240A89" w:rsidRPr="006E3FA6" w:rsidRDefault="00240A89" w:rsidP="00233EEA">
      <w:pPr>
        <w:pStyle w:val="ListParagraph"/>
        <w:numPr>
          <w:ilvl w:val="0"/>
          <w:numId w:val="32"/>
        </w:numPr>
        <w:tabs>
          <w:tab w:val="right" w:pos="720"/>
        </w:tabs>
        <w:spacing w:after="0" w:line="240" w:lineRule="auto"/>
        <w:rPr>
          <w:bCs/>
        </w:rPr>
      </w:pPr>
      <w:r w:rsidRPr="006E3FA6">
        <w:rPr>
          <w:bCs/>
        </w:rPr>
        <w:t>Additional documents:</w:t>
      </w:r>
    </w:p>
    <w:p w14:paraId="189AF460" w14:textId="77777777" w:rsidR="00240A89" w:rsidRPr="006E3FA6" w:rsidRDefault="00240A89" w:rsidP="00233EEA">
      <w:pPr>
        <w:pStyle w:val="ListParagraph"/>
        <w:numPr>
          <w:ilvl w:val="1"/>
          <w:numId w:val="36"/>
        </w:numPr>
        <w:tabs>
          <w:tab w:val="right" w:pos="720"/>
        </w:tabs>
        <w:spacing w:after="0" w:line="240" w:lineRule="auto"/>
        <w:ind w:left="1276" w:hanging="425"/>
        <w:rPr>
          <w:rStyle w:val="Emphasis"/>
          <w:rFonts w:eastAsiaTheme="majorEastAsia" w:cstheme="majorBidi"/>
          <w:b/>
          <w:bCs/>
          <w:i w:val="0"/>
          <w:iCs w:val="0"/>
          <w:color w:val="6F6F74" w:themeColor="accent1"/>
        </w:rPr>
      </w:pPr>
      <w:r w:rsidRPr="006E3FA6">
        <w:rPr>
          <w:rStyle w:val="Emphasis"/>
          <w:i w:val="0"/>
        </w:rPr>
        <w:t xml:space="preserve">Applications from </w:t>
      </w:r>
      <w:r w:rsidRPr="006E3FA6">
        <w:rPr>
          <w:rStyle w:val="Emphasis"/>
          <w:b/>
          <w:i w:val="0"/>
        </w:rPr>
        <w:t>postdoctoral fellows</w:t>
      </w:r>
      <w:r w:rsidRPr="006E3FA6">
        <w:rPr>
          <w:rStyle w:val="Emphasis"/>
          <w:i w:val="0"/>
        </w:rPr>
        <w:t xml:space="preserve"> must also include a letter of support (maximum one page) from their supervisors.</w:t>
      </w:r>
    </w:p>
    <w:p w14:paraId="0B9DCF09" w14:textId="77777777" w:rsidR="00240A89" w:rsidRPr="006E3FA6" w:rsidRDefault="00240A89" w:rsidP="00233EEA">
      <w:pPr>
        <w:pStyle w:val="ListParagraph"/>
        <w:numPr>
          <w:ilvl w:val="1"/>
          <w:numId w:val="36"/>
        </w:numPr>
        <w:tabs>
          <w:tab w:val="right" w:pos="720"/>
        </w:tabs>
        <w:spacing w:after="0" w:line="240" w:lineRule="auto"/>
        <w:ind w:left="1276" w:hanging="425"/>
        <w:rPr>
          <w:bCs/>
        </w:rPr>
      </w:pPr>
      <w:r w:rsidRPr="006E3FA6">
        <w:t xml:space="preserve">Applications from scholars holding </w:t>
      </w:r>
      <w:proofErr w:type="gramStart"/>
      <w:r w:rsidRPr="006E3FA6">
        <w:rPr>
          <w:b/>
        </w:rPr>
        <w:t>contractually-limited</w:t>
      </w:r>
      <w:proofErr w:type="gramEnd"/>
      <w:r w:rsidRPr="006E3FA6">
        <w:rPr>
          <w:b/>
        </w:rPr>
        <w:t xml:space="preserve"> appointments</w:t>
      </w:r>
      <w:r w:rsidRPr="006E3FA6">
        <w:t xml:space="preserve"> and/or </w:t>
      </w:r>
      <w:r w:rsidRPr="006E3FA6">
        <w:rPr>
          <w:b/>
        </w:rPr>
        <w:t>postdoctoral fellows</w:t>
      </w:r>
      <w:r w:rsidRPr="006E3FA6">
        <w:t xml:space="preserve"> must include a work</w:t>
      </w:r>
      <w:r w:rsidR="00AF78AD" w:rsidRPr="006E3FA6">
        <w:t xml:space="preserve"> </w:t>
      </w:r>
      <w:r w:rsidRPr="006E3FA6">
        <w:t>plan (maximum one page) to demonstrate that the activities for which they are requesting funding will be completed before their appointment ends.</w:t>
      </w:r>
      <w:r w:rsidR="00FB7F45" w:rsidRPr="006E3FA6">
        <w:t xml:space="preserve"> </w:t>
      </w:r>
    </w:p>
    <w:p w14:paraId="401C3CAC" w14:textId="0058B39E" w:rsidR="00FB7F45" w:rsidRPr="009804BA" w:rsidRDefault="00FB7F45" w:rsidP="00233EEA">
      <w:pPr>
        <w:pStyle w:val="ListParagraph"/>
        <w:numPr>
          <w:ilvl w:val="1"/>
          <w:numId w:val="36"/>
        </w:numPr>
        <w:tabs>
          <w:tab w:val="right" w:pos="720"/>
        </w:tabs>
        <w:spacing w:after="0" w:line="240" w:lineRule="auto"/>
        <w:ind w:left="1276" w:hanging="425"/>
        <w:rPr>
          <w:bCs/>
        </w:rPr>
      </w:pPr>
      <w:r w:rsidRPr="006E3FA6">
        <w:t xml:space="preserve">Postdoctoral fellows must obtain both the chair and the dean’s </w:t>
      </w:r>
      <w:r w:rsidR="00AF0C6A" w:rsidRPr="009804BA">
        <w:t xml:space="preserve">(or their delegate) </w:t>
      </w:r>
      <w:r w:rsidRPr="009804BA">
        <w:t>signature</w:t>
      </w:r>
      <w:r w:rsidR="0056090A" w:rsidRPr="009804BA">
        <w:t>.</w:t>
      </w:r>
    </w:p>
    <w:p w14:paraId="1650795D" w14:textId="77777777" w:rsidR="00F2644D" w:rsidRPr="006E3FA6" w:rsidRDefault="00F2644D" w:rsidP="00156BBB">
      <w:pPr>
        <w:pStyle w:val="Heading3"/>
        <w:spacing w:before="0" w:line="240" w:lineRule="auto"/>
        <w:ind w:left="284"/>
        <w:rPr>
          <w:rFonts w:asciiTheme="minorHAnsi" w:hAnsiTheme="minorHAnsi"/>
          <w:color w:val="auto"/>
        </w:rPr>
      </w:pPr>
    </w:p>
    <w:p w14:paraId="284CA753" w14:textId="77777777" w:rsidR="00240A89" w:rsidRPr="006E3FA6" w:rsidRDefault="00240A89" w:rsidP="00156BBB">
      <w:pPr>
        <w:pStyle w:val="Heading3"/>
        <w:spacing w:before="0" w:line="240" w:lineRule="auto"/>
        <w:ind w:left="284"/>
        <w:rPr>
          <w:rFonts w:asciiTheme="minorHAnsi" w:hAnsiTheme="minorHAnsi"/>
          <w:color w:val="7A0000"/>
          <w:u w:val="single"/>
        </w:rPr>
      </w:pPr>
      <w:r w:rsidRPr="006E3FA6">
        <w:rPr>
          <w:rFonts w:asciiTheme="minorHAnsi" w:hAnsiTheme="minorHAnsi"/>
          <w:color w:val="7A0000"/>
          <w:u w:val="single"/>
        </w:rPr>
        <w:t>Eligible Expenditures</w:t>
      </w:r>
    </w:p>
    <w:p w14:paraId="1FBBDA05" w14:textId="77777777" w:rsidR="001D5D85" w:rsidRPr="006E3FA6" w:rsidRDefault="001D5D85" w:rsidP="00331262">
      <w:pPr>
        <w:spacing w:after="0" w:line="240" w:lineRule="auto"/>
        <w:ind w:firstLine="284"/>
      </w:pPr>
      <w:r w:rsidRPr="006E3FA6">
        <w:t xml:space="preserve">Application may be made for incidental costs associated with publications. </w:t>
      </w:r>
    </w:p>
    <w:p w14:paraId="04A7B482" w14:textId="77777777" w:rsidR="00240A89" w:rsidRPr="006E3FA6" w:rsidRDefault="00240A89" w:rsidP="00156BBB">
      <w:pPr>
        <w:pStyle w:val="Heading3"/>
        <w:spacing w:before="0" w:line="240" w:lineRule="auto"/>
        <w:ind w:left="284"/>
        <w:rPr>
          <w:rFonts w:asciiTheme="minorHAnsi" w:hAnsiTheme="minorHAnsi"/>
          <w:color w:val="auto"/>
        </w:rPr>
      </w:pPr>
    </w:p>
    <w:p w14:paraId="30C485AB" w14:textId="77777777" w:rsidR="001D5D85" w:rsidRPr="006E3FA6" w:rsidRDefault="001D5D85" w:rsidP="00156BBB">
      <w:pPr>
        <w:pStyle w:val="Heading4"/>
        <w:spacing w:before="0" w:line="240" w:lineRule="auto"/>
        <w:ind w:left="720"/>
        <w:rPr>
          <w:rFonts w:asciiTheme="minorHAnsi" w:hAnsiTheme="minorHAnsi"/>
          <w:color w:val="6C1D45"/>
        </w:rPr>
      </w:pPr>
      <w:r w:rsidRPr="006E3FA6">
        <w:rPr>
          <w:rFonts w:asciiTheme="minorHAnsi" w:hAnsiTheme="minorHAnsi"/>
          <w:color w:val="6C1D45"/>
        </w:rPr>
        <w:t>Eligible Expenses</w:t>
      </w:r>
    </w:p>
    <w:p w14:paraId="7E48AB90" w14:textId="77777777" w:rsidR="001D5D85" w:rsidRPr="006E3FA6" w:rsidRDefault="001D5D85" w:rsidP="00156BBB">
      <w:pPr>
        <w:pStyle w:val="ListParagraph"/>
        <w:numPr>
          <w:ilvl w:val="0"/>
          <w:numId w:val="24"/>
        </w:numPr>
        <w:spacing w:after="0" w:line="240" w:lineRule="auto"/>
        <w:ind w:left="1560" w:hanging="426"/>
      </w:pPr>
      <w:r w:rsidRPr="006E3FA6">
        <w:t>Photographs</w:t>
      </w:r>
    </w:p>
    <w:p w14:paraId="44EAA73A" w14:textId="77777777" w:rsidR="001D5D85" w:rsidRPr="006E3FA6" w:rsidRDefault="001D5D85" w:rsidP="00156BBB">
      <w:pPr>
        <w:pStyle w:val="ListParagraph"/>
        <w:numPr>
          <w:ilvl w:val="0"/>
          <w:numId w:val="24"/>
        </w:numPr>
        <w:spacing w:after="0" w:line="240" w:lineRule="auto"/>
        <w:ind w:left="1560" w:hanging="426"/>
      </w:pPr>
      <w:r w:rsidRPr="006E3FA6">
        <w:t>Print reproduction</w:t>
      </w:r>
    </w:p>
    <w:p w14:paraId="791E35E8" w14:textId="77777777" w:rsidR="001D5D85" w:rsidRPr="006E3FA6" w:rsidRDefault="001D5D85" w:rsidP="00156BBB">
      <w:pPr>
        <w:pStyle w:val="ListParagraph"/>
        <w:numPr>
          <w:ilvl w:val="0"/>
          <w:numId w:val="24"/>
        </w:numPr>
        <w:spacing w:after="0" w:line="240" w:lineRule="auto"/>
        <w:ind w:left="1560" w:hanging="426"/>
      </w:pPr>
      <w:r w:rsidRPr="006E3FA6">
        <w:t>Permission Fees</w:t>
      </w:r>
    </w:p>
    <w:p w14:paraId="1706FD52" w14:textId="77777777" w:rsidR="001D5D85" w:rsidRPr="006E3FA6" w:rsidRDefault="001D5D85" w:rsidP="00156BBB">
      <w:pPr>
        <w:pStyle w:val="ListParagraph"/>
        <w:numPr>
          <w:ilvl w:val="0"/>
          <w:numId w:val="24"/>
        </w:numPr>
        <w:spacing w:after="0" w:line="240" w:lineRule="auto"/>
        <w:ind w:left="1560" w:hanging="426"/>
      </w:pPr>
      <w:r w:rsidRPr="006E3FA6">
        <w:t xml:space="preserve">Professional Indexing (applicants requesting support for professional indexing must provide three (3) estimates for this service. The estimates are to include </w:t>
      </w:r>
      <w:r w:rsidR="00D73F67" w:rsidRPr="006E3FA6">
        <w:t xml:space="preserve">either (a) the </w:t>
      </w:r>
      <w:r w:rsidRPr="006E3FA6">
        <w:t>hourly rate and the number of hours required to do the job</w:t>
      </w:r>
      <w:r w:rsidR="00D73F67" w:rsidRPr="006E3FA6">
        <w:t xml:space="preserve"> or (b) the rate per word/page and the </w:t>
      </w:r>
      <w:r w:rsidR="00322CCF" w:rsidRPr="006E3FA6">
        <w:t>word/page</w:t>
      </w:r>
      <w:r w:rsidR="00D73F67" w:rsidRPr="006E3FA6">
        <w:t xml:space="preserve"> count of the publication</w:t>
      </w:r>
      <w:r w:rsidRPr="006E3FA6">
        <w:t>)</w:t>
      </w:r>
    </w:p>
    <w:p w14:paraId="3444FF91" w14:textId="77777777" w:rsidR="00F77239" w:rsidRDefault="001D5D85" w:rsidP="00F77239">
      <w:pPr>
        <w:pStyle w:val="ListParagraph"/>
        <w:numPr>
          <w:ilvl w:val="0"/>
          <w:numId w:val="24"/>
        </w:numPr>
        <w:spacing w:after="0" w:line="240" w:lineRule="auto"/>
        <w:ind w:left="1560" w:hanging="426"/>
      </w:pPr>
      <w:r w:rsidRPr="006E3FA6">
        <w:t>Page charges</w:t>
      </w:r>
    </w:p>
    <w:p w14:paraId="28F310E5" w14:textId="560D3FD5" w:rsidR="001D5D85" w:rsidRPr="00F77239" w:rsidRDefault="001D5D85" w:rsidP="00F77239">
      <w:pPr>
        <w:pStyle w:val="ListParagraph"/>
        <w:numPr>
          <w:ilvl w:val="0"/>
          <w:numId w:val="24"/>
        </w:numPr>
        <w:spacing w:after="0" w:line="240" w:lineRule="auto"/>
        <w:ind w:left="1560" w:hanging="426"/>
      </w:pPr>
      <w:r w:rsidRPr="006E3FA6">
        <w:t>Open access journal fees up to a maximum of $1000 (applicants requesting support for open access fees must give rationale for how the support will facilitate the seeding of new research)</w:t>
      </w:r>
      <w:r w:rsidR="005B0032" w:rsidRPr="006E3FA6">
        <w:t xml:space="preserve">. </w:t>
      </w:r>
      <w:r w:rsidR="005B0032" w:rsidRPr="00F77239">
        <w:rPr>
          <w:rFonts w:eastAsia="Times New Roman"/>
        </w:rPr>
        <w:t xml:space="preserve">See </w:t>
      </w:r>
      <w:hyperlink r:id="rId29" w:history="1">
        <w:r w:rsidR="005B0032" w:rsidRPr="004F104E">
          <w:rPr>
            <w:rStyle w:val="Hyperlink"/>
            <w:rFonts w:eastAsia="Times New Roman"/>
            <w:color w:val="0070C0"/>
          </w:rPr>
          <w:t xml:space="preserve">Tri-Agency Open Access Policy on Publications </w:t>
        </w:r>
      </w:hyperlink>
    </w:p>
    <w:p w14:paraId="0FDBE4B5" w14:textId="77777777" w:rsidR="001D5D85" w:rsidRPr="006E3FA6" w:rsidRDefault="001D5D85" w:rsidP="00156BBB">
      <w:pPr>
        <w:pStyle w:val="Heading4"/>
        <w:spacing w:before="0" w:line="240" w:lineRule="auto"/>
        <w:ind w:left="720"/>
        <w:rPr>
          <w:rFonts w:asciiTheme="minorHAnsi" w:hAnsiTheme="minorHAnsi"/>
          <w:color w:val="6C1D45"/>
        </w:rPr>
      </w:pPr>
    </w:p>
    <w:p w14:paraId="01E1B120" w14:textId="77777777" w:rsidR="001D5D85" w:rsidRPr="006E3FA6" w:rsidRDefault="001D5D85" w:rsidP="00156BBB">
      <w:pPr>
        <w:pStyle w:val="Heading4"/>
        <w:spacing w:before="0" w:line="240" w:lineRule="auto"/>
        <w:ind w:left="720"/>
        <w:rPr>
          <w:rFonts w:asciiTheme="minorHAnsi" w:hAnsiTheme="minorHAnsi"/>
          <w:color w:val="6C1D45"/>
        </w:rPr>
      </w:pPr>
      <w:r w:rsidRPr="006E3FA6">
        <w:rPr>
          <w:rFonts w:asciiTheme="minorHAnsi" w:hAnsiTheme="minorHAnsi"/>
          <w:color w:val="6C1D45"/>
        </w:rPr>
        <w:t>Ineligible Expenses</w:t>
      </w:r>
    </w:p>
    <w:p w14:paraId="4A54C309" w14:textId="77777777" w:rsidR="001D5D85" w:rsidRPr="006E3FA6" w:rsidRDefault="001D5D85" w:rsidP="00156BBB">
      <w:pPr>
        <w:pStyle w:val="ListParagraph"/>
        <w:numPr>
          <w:ilvl w:val="0"/>
          <w:numId w:val="24"/>
        </w:numPr>
        <w:spacing w:after="0" w:line="240" w:lineRule="auto"/>
        <w:ind w:left="1560" w:hanging="426"/>
      </w:pPr>
      <w:r w:rsidRPr="006E3FA6">
        <w:t>Conference and symposium proceedings</w:t>
      </w:r>
    </w:p>
    <w:p w14:paraId="30CB02C5" w14:textId="77777777" w:rsidR="001D5D85" w:rsidRPr="006E3FA6" w:rsidRDefault="001D5D85" w:rsidP="00156BBB">
      <w:pPr>
        <w:pStyle w:val="ListParagraph"/>
        <w:numPr>
          <w:ilvl w:val="0"/>
          <w:numId w:val="24"/>
        </w:numPr>
        <w:spacing w:after="0" w:line="240" w:lineRule="auto"/>
        <w:ind w:left="1560" w:hanging="426"/>
      </w:pPr>
      <w:r w:rsidRPr="006E3FA6">
        <w:t>Copy editing</w:t>
      </w:r>
    </w:p>
    <w:p w14:paraId="77360985" w14:textId="77777777" w:rsidR="001D5D85" w:rsidRPr="006E3FA6" w:rsidRDefault="001D5D85" w:rsidP="00156BBB">
      <w:pPr>
        <w:pStyle w:val="ListParagraph"/>
        <w:numPr>
          <w:ilvl w:val="0"/>
          <w:numId w:val="24"/>
        </w:numPr>
        <w:spacing w:after="0" w:line="240" w:lineRule="auto"/>
        <w:ind w:left="1560" w:hanging="426"/>
      </w:pPr>
      <w:r w:rsidRPr="006E3FA6">
        <w:t>Direct subsidies to publishers</w:t>
      </w:r>
    </w:p>
    <w:p w14:paraId="6F1817DE" w14:textId="77777777" w:rsidR="001D5D85" w:rsidRPr="006E3FA6" w:rsidRDefault="001D5D85" w:rsidP="00156BBB">
      <w:pPr>
        <w:pStyle w:val="ListParagraph"/>
        <w:numPr>
          <w:ilvl w:val="0"/>
          <w:numId w:val="24"/>
        </w:numPr>
        <w:spacing w:after="0" w:line="240" w:lineRule="auto"/>
        <w:ind w:left="1560" w:hanging="426"/>
      </w:pPr>
      <w:r w:rsidRPr="006E3FA6">
        <w:t>Hiring a research assistant</w:t>
      </w:r>
    </w:p>
    <w:p w14:paraId="0A5896DD" w14:textId="77777777" w:rsidR="001D5D85" w:rsidRPr="006E3FA6" w:rsidRDefault="001D5D85" w:rsidP="00331262">
      <w:pPr>
        <w:spacing w:after="0" w:line="240" w:lineRule="auto"/>
      </w:pPr>
    </w:p>
    <w:p w14:paraId="03A04F77" w14:textId="4847E9E7" w:rsidR="001D5D85" w:rsidRPr="006E3FA6" w:rsidRDefault="001D5D85" w:rsidP="00331262">
      <w:pPr>
        <w:spacing w:after="0" w:line="240" w:lineRule="auto"/>
        <w:ind w:left="709"/>
      </w:pPr>
      <w:r w:rsidRPr="006E3FA6">
        <w:rPr>
          <w:b/>
        </w:rPr>
        <w:lastRenderedPageBreak/>
        <w:t>Note:</w:t>
      </w:r>
      <w:r w:rsidRPr="006E3FA6">
        <w:t xml:space="preserve">  translation costs are generally</w:t>
      </w:r>
      <w:r w:rsidR="007518B8">
        <w:t xml:space="preserve"> not</w:t>
      </w:r>
      <w:r w:rsidRPr="006E3FA6">
        <w:t xml:space="preserve"> eligible but will be considered under exceptional circumstances. The applicant must provide a clear justification for the necessity of translation to the project and demonstrate that the proposed translation costs are the lowest possible by providing </w:t>
      </w:r>
      <w:proofErr w:type="gramStart"/>
      <w:r w:rsidRPr="006E3FA6">
        <w:t>at</w:t>
      </w:r>
      <w:r w:rsidR="007518B8">
        <w:t xml:space="preserve"> </w:t>
      </w:r>
      <w:r w:rsidRPr="006E3FA6">
        <w:t>minimum</w:t>
      </w:r>
      <w:proofErr w:type="gramEnd"/>
      <w:r w:rsidRPr="006E3FA6">
        <w:t xml:space="preserve"> three estimates.</w:t>
      </w:r>
    </w:p>
    <w:p w14:paraId="38153E08" w14:textId="77777777" w:rsidR="00894672" w:rsidRPr="006E3FA6" w:rsidRDefault="00894672" w:rsidP="00331262">
      <w:pPr>
        <w:spacing w:after="0" w:line="240" w:lineRule="auto"/>
      </w:pPr>
    </w:p>
    <w:p w14:paraId="21F97C6B" w14:textId="77777777" w:rsidR="002259DC" w:rsidRPr="006E3FA6" w:rsidRDefault="002259DC" w:rsidP="00156BBB">
      <w:pPr>
        <w:pStyle w:val="Heading3"/>
        <w:spacing w:before="0" w:line="240" w:lineRule="auto"/>
        <w:ind w:left="284"/>
        <w:rPr>
          <w:rFonts w:asciiTheme="minorHAnsi" w:hAnsiTheme="minorHAnsi"/>
          <w:color w:val="7A0000"/>
          <w:u w:val="single"/>
        </w:rPr>
      </w:pPr>
      <w:r w:rsidRPr="006E3FA6">
        <w:rPr>
          <w:rFonts w:asciiTheme="minorHAnsi" w:hAnsiTheme="minorHAnsi"/>
          <w:color w:val="7A0000"/>
          <w:u w:val="single"/>
        </w:rPr>
        <w:t>Evaluation Criteria</w:t>
      </w:r>
    </w:p>
    <w:p w14:paraId="7B26E198" w14:textId="77777777" w:rsidR="002259DC" w:rsidRPr="006E3FA6" w:rsidRDefault="002259DC" w:rsidP="00156BBB">
      <w:pPr>
        <w:spacing w:after="0" w:line="240" w:lineRule="auto"/>
        <w:ind w:left="284"/>
      </w:pPr>
      <w:r w:rsidRPr="006E3FA6">
        <w:t>SSHRC Exchange – Scholarly Publications Grant applications will be assessed for the following:</w:t>
      </w:r>
    </w:p>
    <w:p w14:paraId="1DA9846C" w14:textId="77777777" w:rsidR="002259DC" w:rsidRPr="006E3FA6" w:rsidRDefault="002259DC" w:rsidP="00156BBB">
      <w:pPr>
        <w:pStyle w:val="ListParagraph"/>
        <w:numPr>
          <w:ilvl w:val="0"/>
          <w:numId w:val="38"/>
        </w:numPr>
        <w:spacing w:after="0" w:line="240" w:lineRule="auto"/>
        <w:ind w:left="851" w:hanging="425"/>
      </w:pPr>
      <w:r w:rsidRPr="006E3FA6">
        <w:t>Availability of alternative outlets for publication at lower or zero cost;</w:t>
      </w:r>
    </w:p>
    <w:p w14:paraId="0B49F4FC" w14:textId="77777777" w:rsidR="002259DC" w:rsidRPr="006E3FA6" w:rsidRDefault="002259DC" w:rsidP="00156BBB">
      <w:pPr>
        <w:pStyle w:val="ListParagraph"/>
        <w:numPr>
          <w:ilvl w:val="0"/>
          <w:numId w:val="38"/>
        </w:numPr>
        <w:spacing w:after="0" w:line="240" w:lineRule="auto"/>
        <w:ind w:left="851" w:hanging="425"/>
      </w:pPr>
      <w:r w:rsidRPr="006E3FA6">
        <w:t>Overall contribution of the publication to the candidate’s research and publication record; and</w:t>
      </w:r>
    </w:p>
    <w:p w14:paraId="2F48218B" w14:textId="4489A639" w:rsidR="002259DC" w:rsidRPr="006E3FA6" w:rsidRDefault="002259DC" w:rsidP="00156BBB">
      <w:pPr>
        <w:pStyle w:val="ListParagraph"/>
        <w:numPr>
          <w:ilvl w:val="0"/>
          <w:numId w:val="38"/>
        </w:numPr>
        <w:spacing w:after="0" w:line="240" w:lineRule="auto"/>
        <w:ind w:left="851" w:hanging="425"/>
      </w:pPr>
      <w:r w:rsidRPr="006E3FA6">
        <w:t xml:space="preserve">Applicant’s scholarly contributions relative to the stage of career (e.g., publications, reviews, abstracts, conference presentations over the last </w:t>
      </w:r>
      <w:r w:rsidR="008D5488" w:rsidRPr="006E3FA6">
        <w:t xml:space="preserve">six </w:t>
      </w:r>
      <w:r w:rsidRPr="006E3FA6">
        <w:t>years</w:t>
      </w:r>
      <w:r w:rsidR="004F6E6D">
        <w:t>)</w:t>
      </w:r>
      <w:r w:rsidR="005639BE" w:rsidRPr="006E3FA6">
        <w:t>.</w:t>
      </w:r>
      <w:r w:rsidR="00642397" w:rsidRPr="006E3FA6">
        <w:t xml:space="preserve"> S</w:t>
      </w:r>
      <w:r w:rsidR="00642397" w:rsidRPr="006E3FA6">
        <w:rPr>
          <w:bCs/>
        </w:rPr>
        <w:t xml:space="preserve">ee </w:t>
      </w:r>
      <w:hyperlink r:id="rId30" w:history="1">
        <w:r w:rsidR="00642397" w:rsidRPr="004F104E">
          <w:rPr>
            <w:rStyle w:val="Hyperlink"/>
            <w:bCs/>
            <w:color w:val="0070C0"/>
          </w:rPr>
          <w:t>SSHRC CV</w:t>
        </w:r>
      </w:hyperlink>
      <w:r w:rsidR="00642397" w:rsidRPr="006E3FA6">
        <w:rPr>
          <w:bCs/>
        </w:rPr>
        <w:t xml:space="preserve"> and </w:t>
      </w:r>
      <w:hyperlink r:id="rId31" w:anchor="contributions" w:history="1">
        <w:r w:rsidR="00642397" w:rsidRPr="004F104E">
          <w:rPr>
            <w:rStyle w:val="Hyperlink"/>
            <w:bCs/>
            <w:color w:val="0070C0"/>
          </w:rPr>
          <w:t>SSHRC Relevant Research Contributions</w:t>
        </w:r>
      </w:hyperlink>
    </w:p>
    <w:p w14:paraId="7D3B9B99" w14:textId="77777777" w:rsidR="002259DC" w:rsidRPr="006E3FA6" w:rsidRDefault="002259DC" w:rsidP="00331262">
      <w:pPr>
        <w:spacing w:after="0" w:line="240" w:lineRule="auto"/>
      </w:pPr>
    </w:p>
    <w:p w14:paraId="72CD2F12" w14:textId="77777777" w:rsidR="00A82802" w:rsidRPr="006E3FA6" w:rsidRDefault="00A82802" w:rsidP="00156BBB">
      <w:pPr>
        <w:spacing w:after="0" w:line="240" w:lineRule="auto"/>
      </w:pPr>
    </w:p>
    <w:p w14:paraId="4493B45C" w14:textId="4AB8F23B" w:rsidR="00621083" w:rsidRPr="006E3FA6" w:rsidRDefault="0037743D" w:rsidP="00331262">
      <w:pPr>
        <w:pStyle w:val="Heading2"/>
        <w:rPr>
          <w:rFonts w:asciiTheme="minorHAnsi" w:hAnsiTheme="minorHAnsi"/>
          <w:color w:val="0070C0"/>
          <w:sz w:val="22"/>
          <w:szCs w:val="22"/>
          <w:u w:val="single"/>
        </w:rPr>
      </w:pPr>
      <w:r w:rsidRPr="006E3FA6">
        <w:rPr>
          <w:rFonts w:asciiTheme="minorHAnsi" w:hAnsiTheme="minorHAnsi"/>
          <w:color w:val="0070C0"/>
          <w:sz w:val="22"/>
          <w:szCs w:val="22"/>
          <w:u w:val="single"/>
        </w:rPr>
        <w:t xml:space="preserve">4.  </w:t>
      </w:r>
      <w:bookmarkStart w:id="12" w:name="_SSHRC_Explore_–"/>
      <w:bookmarkEnd w:id="12"/>
      <w:r w:rsidR="00621083" w:rsidRPr="006E3FA6">
        <w:rPr>
          <w:rFonts w:asciiTheme="minorHAnsi" w:hAnsiTheme="minorHAnsi"/>
          <w:color w:val="0070C0"/>
          <w:sz w:val="22"/>
          <w:szCs w:val="22"/>
          <w:u w:val="single"/>
        </w:rPr>
        <w:t>SSHRC Explore</w:t>
      </w:r>
      <w:r w:rsidR="009E2877" w:rsidRPr="006E3FA6">
        <w:rPr>
          <w:rFonts w:asciiTheme="minorHAnsi" w:hAnsiTheme="minorHAnsi"/>
          <w:color w:val="0070C0"/>
          <w:sz w:val="22"/>
          <w:szCs w:val="22"/>
          <w:u w:val="single"/>
        </w:rPr>
        <w:t xml:space="preserve"> - </w:t>
      </w:r>
      <w:r w:rsidR="00621083" w:rsidRPr="006E3FA6">
        <w:rPr>
          <w:rFonts w:asciiTheme="minorHAnsi" w:hAnsiTheme="minorHAnsi"/>
          <w:color w:val="0070C0"/>
          <w:sz w:val="22"/>
          <w:szCs w:val="22"/>
          <w:u w:val="single"/>
        </w:rPr>
        <w:t>Major Collaborative Project Seed Grant</w:t>
      </w:r>
    </w:p>
    <w:p w14:paraId="717AF9C5" w14:textId="77777777" w:rsidR="00783BAD" w:rsidRPr="006E3FA6" w:rsidRDefault="00783BAD" w:rsidP="00156BBB">
      <w:pPr>
        <w:spacing w:after="0" w:line="240" w:lineRule="auto"/>
      </w:pPr>
    </w:p>
    <w:p w14:paraId="15CCFE4B" w14:textId="77777777" w:rsidR="00156BBB" w:rsidRPr="006E3FA6" w:rsidRDefault="00156BBB" w:rsidP="00D069E7">
      <w:pPr>
        <w:spacing w:after="0" w:line="240" w:lineRule="auto"/>
        <w:ind w:left="284"/>
        <w:rPr>
          <w:b/>
          <w:color w:val="7A0000"/>
          <w:u w:val="single"/>
        </w:rPr>
      </w:pPr>
      <w:r w:rsidRPr="006E3FA6">
        <w:rPr>
          <w:b/>
          <w:color w:val="7A0000"/>
          <w:u w:val="single"/>
        </w:rPr>
        <w:t>Objectives</w:t>
      </w:r>
    </w:p>
    <w:p w14:paraId="7444434F" w14:textId="53A44D9A" w:rsidR="00156BBB" w:rsidRPr="006E3FA6" w:rsidRDefault="00156BBB" w:rsidP="00331262">
      <w:pPr>
        <w:spacing w:after="0" w:line="240" w:lineRule="auto"/>
        <w:ind w:left="284"/>
      </w:pPr>
      <w:r w:rsidRPr="006E3FA6">
        <w:t xml:space="preserve">The SSHRC Explore </w:t>
      </w:r>
      <w:r w:rsidR="00C16FC2" w:rsidRPr="006E3FA6">
        <w:t>- M</w:t>
      </w:r>
      <w:r w:rsidRPr="006E3FA6">
        <w:t>ajor Collaborative Project Seed Gran</w:t>
      </w:r>
      <w:r w:rsidR="0070061A" w:rsidRPr="006E3FA6">
        <w:t>t</w:t>
      </w:r>
      <w:r w:rsidRPr="006E3FA6">
        <w:t xml:space="preserve"> program is designed to provide critical seed funding to facilitate the subsequent development of strong, competitive proposals of an interdisciplinary and/or multidisciplinary nature for submission to external research sponsors.</w:t>
      </w:r>
    </w:p>
    <w:p w14:paraId="79D71326" w14:textId="77777777" w:rsidR="00D069E7" w:rsidRPr="006E3FA6" w:rsidRDefault="00D069E7" w:rsidP="00331262">
      <w:pPr>
        <w:spacing w:after="0" w:line="240" w:lineRule="auto"/>
        <w:ind w:left="284"/>
      </w:pPr>
    </w:p>
    <w:p w14:paraId="4B0696E9" w14:textId="77777777" w:rsidR="00D069E7" w:rsidRPr="006E3FA6" w:rsidRDefault="00D069E7" w:rsidP="00331262">
      <w:pPr>
        <w:spacing w:after="0" w:line="240" w:lineRule="auto"/>
        <w:ind w:left="284"/>
      </w:pPr>
      <w:r w:rsidRPr="006E3FA6">
        <w:t>The goal of the program is to fund excellence and innovation; there is no guarantee of funding for each application submitted.</w:t>
      </w:r>
    </w:p>
    <w:p w14:paraId="56D83718" w14:textId="77777777" w:rsidR="00F2644D" w:rsidRPr="006E3FA6" w:rsidRDefault="00F2644D" w:rsidP="00331262">
      <w:pPr>
        <w:spacing w:after="0" w:line="240" w:lineRule="auto"/>
        <w:ind w:left="284"/>
      </w:pPr>
    </w:p>
    <w:p w14:paraId="3FC67460" w14:textId="77777777" w:rsidR="00156BBB" w:rsidRPr="006E3FA6" w:rsidRDefault="00156BBB" w:rsidP="00D069E7">
      <w:pPr>
        <w:spacing w:after="0" w:line="240" w:lineRule="auto"/>
        <w:ind w:left="284"/>
        <w:rPr>
          <w:b/>
          <w:color w:val="7A0000"/>
          <w:u w:val="single"/>
        </w:rPr>
      </w:pPr>
      <w:r w:rsidRPr="006E3FA6">
        <w:rPr>
          <w:b/>
          <w:color w:val="7A0000"/>
          <w:u w:val="single"/>
        </w:rPr>
        <w:t>Award Value</w:t>
      </w:r>
    </w:p>
    <w:p w14:paraId="47A299D8" w14:textId="2978103F" w:rsidR="00D069E7" w:rsidRPr="006E3FA6" w:rsidRDefault="00D069E7" w:rsidP="00331262">
      <w:pPr>
        <w:spacing w:after="0" w:line="240" w:lineRule="auto"/>
        <w:ind w:left="284"/>
        <w:rPr>
          <w:rFonts w:eastAsia="Times New Roman"/>
        </w:rPr>
      </w:pPr>
      <w:r w:rsidRPr="006E3FA6">
        <w:t xml:space="preserve">The maximum allowable SSHRC Explore </w:t>
      </w:r>
      <w:r w:rsidR="00C16FC2" w:rsidRPr="006E3FA6">
        <w:t>- M</w:t>
      </w:r>
      <w:r w:rsidRPr="006E3FA6">
        <w:t>ajor Collaborative Project Seed Gran</w:t>
      </w:r>
      <w:r w:rsidR="0070061A" w:rsidRPr="006E3FA6">
        <w:t>t</w:t>
      </w:r>
      <w:r w:rsidRPr="006E3FA6">
        <w:t xml:space="preserve"> is $15,000 for up to 24 months, commencing </w:t>
      </w:r>
      <w:proofErr w:type="gramStart"/>
      <w:r w:rsidRPr="006E3FA6">
        <w:t>the January</w:t>
      </w:r>
      <w:proofErr w:type="gramEnd"/>
      <w:r w:rsidRPr="006E3FA6">
        <w:t xml:space="preserve"> following receipt of the award.</w:t>
      </w:r>
      <w:r w:rsidR="00E72690" w:rsidRPr="006E3FA6">
        <w:t xml:space="preserve"> Any grant funds not used by the end of that period will be returned to the ARB.</w:t>
      </w:r>
      <w:r w:rsidRPr="006E3FA6">
        <w:t xml:space="preserve"> To be eligible for future ARB funding, grantees must apply for a major</w:t>
      </w:r>
      <w:r w:rsidR="00F415AD" w:rsidRPr="006E3FA6">
        <w:t>,</w:t>
      </w:r>
      <w:r w:rsidRPr="006E3FA6">
        <w:t xml:space="preserve"> </w:t>
      </w:r>
      <w:r w:rsidRPr="006E3FA6">
        <w:rPr>
          <w:rFonts w:eastAsia="Times New Roman"/>
        </w:rPr>
        <w:t xml:space="preserve">external grant </w:t>
      </w:r>
      <w:r w:rsidR="00F415AD" w:rsidRPr="006E3FA6">
        <w:rPr>
          <w:rFonts w:eastAsia="Times New Roman"/>
        </w:rPr>
        <w:t xml:space="preserve">of </w:t>
      </w:r>
      <w:r w:rsidRPr="006E3FA6">
        <w:rPr>
          <w:rFonts w:eastAsia="Times New Roman"/>
        </w:rPr>
        <w:t>over $100,000 within two years.</w:t>
      </w:r>
    </w:p>
    <w:p w14:paraId="3D591476" w14:textId="1D72D21A" w:rsidR="008534AE" w:rsidRPr="006E3FA6" w:rsidRDefault="008534AE" w:rsidP="00331262">
      <w:pPr>
        <w:spacing w:after="0" w:line="240" w:lineRule="auto"/>
        <w:ind w:left="284"/>
        <w:rPr>
          <w:rFonts w:eastAsia="Times New Roman"/>
        </w:rPr>
      </w:pPr>
    </w:p>
    <w:p w14:paraId="6F104348" w14:textId="5DBC52AC" w:rsidR="008534AE" w:rsidRPr="006E3FA6" w:rsidRDefault="008534AE" w:rsidP="008534AE">
      <w:pPr>
        <w:spacing w:after="0" w:line="240" w:lineRule="auto"/>
        <w:ind w:left="284"/>
        <w:rPr>
          <w:rFonts w:eastAsia="Times New Roman"/>
        </w:rPr>
      </w:pPr>
      <w:r w:rsidRPr="006E3FA6">
        <w:rPr>
          <w:rFonts w:eastAsia="Times New Roman"/>
          <w:b/>
          <w:bCs/>
          <w:i/>
          <w:iCs/>
        </w:rPr>
        <w:t>Please Note:</w:t>
      </w:r>
      <w:r w:rsidRPr="006E3FA6">
        <w:rPr>
          <w:rFonts w:eastAsia="Times New Roman"/>
        </w:rPr>
        <w:t xml:space="preserve">  per SSRHC policy, Major Collaborative Project Seed Grants are only partially funded by the SSHRC Institutional Grant (up to a maximum of $</w:t>
      </w:r>
      <w:r w:rsidR="00345586">
        <w:rPr>
          <w:rFonts w:eastAsia="Times New Roman"/>
        </w:rPr>
        <w:t>10</w:t>
      </w:r>
      <w:r w:rsidRPr="006E3FA6">
        <w:rPr>
          <w:rFonts w:eastAsia="Times New Roman"/>
        </w:rPr>
        <w:t>,000 for each award). The balance of funding is from McMaster institutional funds.</w:t>
      </w:r>
    </w:p>
    <w:p w14:paraId="58F3041D" w14:textId="77777777" w:rsidR="008534AE" w:rsidRPr="006E3FA6" w:rsidRDefault="008534AE" w:rsidP="00331262">
      <w:pPr>
        <w:spacing w:after="0" w:line="240" w:lineRule="auto"/>
        <w:ind w:left="284"/>
        <w:rPr>
          <w:rFonts w:eastAsia="Times New Roman"/>
        </w:rPr>
      </w:pPr>
    </w:p>
    <w:p w14:paraId="23102EE1" w14:textId="36C3BAE2" w:rsidR="00944D4A" w:rsidRPr="006E3FA6" w:rsidRDefault="00944D4A" w:rsidP="00944D4A">
      <w:pPr>
        <w:spacing w:after="0" w:line="240" w:lineRule="auto"/>
        <w:ind w:left="284"/>
        <w:rPr>
          <w:bCs/>
          <w:lang w:val="en-CA"/>
        </w:rPr>
      </w:pPr>
      <w:r w:rsidRPr="006E3FA6">
        <w:rPr>
          <w:bCs/>
          <w:position w:val="1"/>
          <w:lang w:val="en-CA"/>
        </w:rPr>
        <w:t>Depending on the</w:t>
      </w:r>
      <w:r w:rsidRPr="006E3FA6">
        <w:rPr>
          <w:bCs/>
          <w:spacing w:val="14"/>
          <w:position w:val="1"/>
          <w:lang w:val="en-CA"/>
        </w:rPr>
        <w:t xml:space="preserve"> </w:t>
      </w:r>
      <w:r w:rsidRPr="006E3FA6">
        <w:rPr>
          <w:bCs/>
          <w:position w:val="1"/>
          <w:lang w:val="en-CA"/>
        </w:rPr>
        <w:t>number</w:t>
      </w:r>
      <w:r w:rsidRPr="006E3FA6">
        <w:rPr>
          <w:bCs/>
          <w:spacing w:val="12"/>
          <w:position w:val="1"/>
          <w:lang w:val="en-CA"/>
        </w:rPr>
        <w:t xml:space="preserve"> </w:t>
      </w:r>
      <w:r w:rsidRPr="006E3FA6">
        <w:rPr>
          <w:bCs/>
          <w:position w:val="1"/>
          <w:lang w:val="en-CA"/>
        </w:rPr>
        <w:t>of</w:t>
      </w:r>
      <w:r w:rsidRPr="006E3FA6">
        <w:rPr>
          <w:bCs/>
          <w:spacing w:val="10"/>
          <w:position w:val="1"/>
          <w:lang w:val="en-CA"/>
        </w:rPr>
        <w:t xml:space="preserve"> </w:t>
      </w:r>
      <w:r w:rsidRPr="006E3FA6">
        <w:rPr>
          <w:bCs/>
          <w:position w:val="1"/>
          <w:lang w:val="en-CA"/>
        </w:rPr>
        <w:t>hig</w:t>
      </w:r>
      <w:r w:rsidRPr="006E3FA6">
        <w:rPr>
          <w:bCs/>
          <w:spacing w:val="1"/>
          <w:position w:val="1"/>
          <w:lang w:val="en-CA"/>
        </w:rPr>
        <w:t>h</w:t>
      </w:r>
      <w:r w:rsidRPr="006E3FA6">
        <w:rPr>
          <w:bCs/>
          <w:spacing w:val="6"/>
          <w:position w:val="1"/>
          <w:lang w:val="en-CA"/>
        </w:rPr>
        <w:t>-</w:t>
      </w:r>
      <w:r w:rsidRPr="006E3FA6">
        <w:rPr>
          <w:bCs/>
          <w:position w:val="1"/>
          <w:lang w:val="en-CA"/>
        </w:rPr>
        <w:t>quality</w:t>
      </w:r>
      <w:r w:rsidRPr="006E3FA6">
        <w:rPr>
          <w:bCs/>
          <w:spacing w:val="19"/>
          <w:position w:val="1"/>
          <w:lang w:val="en-CA"/>
        </w:rPr>
        <w:t xml:space="preserve"> </w:t>
      </w:r>
      <w:r w:rsidRPr="006E3FA6">
        <w:rPr>
          <w:bCs/>
          <w:position w:val="1"/>
          <w:lang w:val="en-CA"/>
        </w:rPr>
        <w:t>applications received</w:t>
      </w:r>
      <w:r w:rsidRPr="006E3FA6">
        <w:rPr>
          <w:bCs/>
          <w:spacing w:val="26"/>
          <w:position w:val="1"/>
          <w:lang w:val="en-CA"/>
        </w:rPr>
        <w:t>,</w:t>
      </w:r>
      <w:r w:rsidRPr="006E3FA6">
        <w:rPr>
          <w:bCs/>
          <w:spacing w:val="25"/>
          <w:position w:val="1"/>
          <w:lang w:val="en-CA"/>
        </w:rPr>
        <w:t xml:space="preserve"> </w:t>
      </w:r>
      <w:r w:rsidRPr="006E3FA6">
        <w:rPr>
          <w:bCs/>
          <w:position w:val="1"/>
          <w:lang w:val="en-CA"/>
        </w:rPr>
        <w:t>the ARB</w:t>
      </w:r>
      <w:r w:rsidRPr="006E3FA6">
        <w:rPr>
          <w:bCs/>
          <w:spacing w:val="8"/>
          <w:position w:val="1"/>
          <w:lang w:val="en-CA"/>
        </w:rPr>
        <w:t xml:space="preserve"> may be</w:t>
      </w:r>
      <w:r w:rsidRPr="006E3FA6">
        <w:rPr>
          <w:bCs/>
          <w:spacing w:val="12"/>
          <w:position w:val="1"/>
          <w:lang w:val="en-CA"/>
        </w:rPr>
        <w:t xml:space="preserve"> </w:t>
      </w:r>
      <w:r w:rsidRPr="006E3FA6">
        <w:rPr>
          <w:bCs/>
          <w:position w:val="1"/>
          <w:lang w:val="en-CA"/>
        </w:rPr>
        <w:t>unable</w:t>
      </w:r>
      <w:r w:rsidRPr="006E3FA6">
        <w:rPr>
          <w:bCs/>
          <w:spacing w:val="20"/>
          <w:position w:val="1"/>
          <w:lang w:val="en-CA"/>
        </w:rPr>
        <w:t xml:space="preserve"> </w:t>
      </w:r>
      <w:r w:rsidRPr="006E3FA6">
        <w:rPr>
          <w:bCs/>
          <w:position w:val="1"/>
          <w:lang w:val="en-CA"/>
        </w:rPr>
        <w:t>to</w:t>
      </w:r>
      <w:r w:rsidRPr="006E3FA6">
        <w:rPr>
          <w:bCs/>
          <w:spacing w:val="3"/>
          <w:position w:val="1"/>
          <w:lang w:val="en-CA"/>
        </w:rPr>
        <w:t xml:space="preserve"> </w:t>
      </w:r>
      <w:r w:rsidRPr="006E3FA6">
        <w:rPr>
          <w:bCs/>
          <w:position w:val="1"/>
          <w:lang w:val="en-CA"/>
        </w:rPr>
        <w:t>fund</w:t>
      </w:r>
      <w:r w:rsidRPr="006E3FA6">
        <w:rPr>
          <w:bCs/>
          <w:spacing w:val="5"/>
          <w:position w:val="1"/>
          <w:lang w:val="en-CA"/>
        </w:rPr>
        <w:t xml:space="preserve"> </w:t>
      </w:r>
      <w:r w:rsidRPr="006E3FA6">
        <w:rPr>
          <w:bCs/>
          <w:position w:val="1"/>
          <w:lang w:val="en-CA"/>
        </w:rPr>
        <w:t xml:space="preserve">all </w:t>
      </w:r>
      <w:r w:rsidRPr="006E3FA6">
        <w:rPr>
          <w:bCs/>
          <w:lang w:val="en-CA"/>
        </w:rPr>
        <w:t>applications</w:t>
      </w:r>
      <w:r w:rsidRPr="006E3FA6">
        <w:rPr>
          <w:bCs/>
          <w:spacing w:val="26"/>
          <w:lang w:val="en-CA"/>
        </w:rPr>
        <w:t xml:space="preserve"> </w:t>
      </w:r>
      <w:r w:rsidRPr="006E3FA6">
        <w:rPr>
          <w:bCs/>
          <w:lang w:val="en-CA"/>
        </w:rPr>
        <w:t>at</w:t>
      </w:r>
      <w:r w:rsidRPr="006E3FA6">
        <w:rPr>
          <w:bCs/>
          <w:spacing w:val="-1"/>
          <w:lang w:val="en-CA"/>
        </w:rPr>
        <w:t xml:space="preserve"> </w:t>
      </w:r>
      <w:r w:rsidRPr="006E3FA6">
        <w:rPr>
          <w:bCs/>
          <w:lang w:val="en-CA"/>
        </w:rPr>
        <w:t>the</w:t>
      </w:r>
      <w:r w:rsidRPr="006E3FA6">
        <w:rPr>
          <w:bCs/>
          <w:spacing w:val="14"/>
          <w:lang w:val="en-CA"/>
        </w:rPr>
        <w:t xml:space="preserve"> </w:t>
      </w:r>
      <w:r w:rsidRPr="006E3FA6">
        <w:rPr>
          <w:bCs/>
          <w:lang w:val="en-CA"/>
        </w:rPr>
        <w:t>level</w:t>
      </w:r>
      <w:r w:rsidRPr="006E3FA6">
        <w:rPr>
          <w:bCs/>
          <w:spacing w:val="18"/>
          <w:lang w:val="en-CA"/>
        </w:rPr>
        <w:t xml:space="preserve"> </w:t>
      </w:r>
      <w:r w:rsidRPr="006E3FA6">
        <w:rPr>
          <w:bCs/>
          <w:lang w:val="en-CA"/>
        </w:rPr>
        <w:t>requested. </w:t>
      </w:r>
    </w:p>
    <w:p w14:paraId="3EE33944" w14:textId="77777777" w:rsidR="00944D4A" w:rsidRPr="006E3FA6" w:rsidRDefault="00944D4A" w:rsidP="00D069E7">
      <w:pPr>
        <w:spacing w:after="0" w:line="240" w:lineRule="auto"/>
        <w:ind w:left="284"/>
        <w:rPr>
          <w:b/>
        </w:rPr>
      </w:pPr>
    </w:p>
    <w:p w14:paraId="2E18C324" w14:textId="77777777" w:rsidR="00156BBB" w:rsidRPr="006E3FA6" w:rsidRDefault="00156BBB" w:rsidP="00156BBB">
      <w:pPr>
        <w:spacing w:after="0" w:line="240" w:lineRule="auto"/>
        <w:ind w:left="284"/>
        <w:rPr>
          <w:b/>
          <w:color w:val="7A0000"/>
          <w:u w:val="single"/>
        </w:rPr>
      </w:pPr>
      <w:r w:rsidRPr="006E3FA6">
        <w:rPr>
          <w:b/>
          <w:color w:val="7A0000"/>
          <w:u w:val="single"/>
        </w:rPr>
        <w:t>Competition Dates</w:t>
      </w:r>
    </w:p>
    <w:p w14:paraId="070302F7" w14:textId="64F50579" w:rsidR="00E72690" w:rsidRPr="006E3FA6" w:rsidRDefault="00E72690" w:rsidP="00E17239">
      <w:pPr>
        <w:spacing w:after="0" w:line="240" w:lineRule="auto"/>
        <w:ind w:left="284"/>
      </w:pPr>
      <w:r w:rsidRPr="006E3FA6">
        <w:t xml:space="preserve">SSHRC Explore </w:t>
      </w:r>
      <w:r w:rsidR="00C16FC2" w:rsidRPr="006E3FA6">
        <w:t>- M</w:t>
      </w:r>
      <w:r w:rsidRPr="006E3FA6">
        <w:t>ajor Collaborative Project Seed Gran</w:t>
      </w:r>
      <w:r w:rsidR="0070061A" w:rsidRPr="006E3FA6">
        <w:t>t</w:t>
      </w:r>
      <w:r w:rsidRPr="006E3FA6">
        <w:t xml:space="preserve"> competitions are held each Fall with a deadline of October 31.</w:t>
      </w:r>
    </w:p>
    <w:p w14:paraId="19956AC4" w14:textId="77777777" w:rsidR="00F2644D" w:rsidRPr="006E3FA6" w:rsidRDefault="00F2644D" w:rsidP="00F308B0">
      <w:pPr>
        <w:pStyle w:val="Heading3"/>
        <w:ind w:left="284"/>
        <w:rPr>
          <w:rFonts w:asciiTheme="minorHAnsi" w:hAnsiTheme="minorHAnsi"/>
          <w:color w:val="7A0000"/>
          <w:u w:val="single"/>
        </w:rPr>
      </w:pPr>
      <w:r w:rsidRPr="006E3FA6">
        <w:rPr>
          <w:rFonts w:asciiTheme="minorHAnsi" w:hAnsiTheme="minorHAnsi"/>
          <w:color w:val="7A0000"/>
          <w:u w:val="single"/>
        </w:rPr>
        <w:t>Application Process</w:t>
      </w:r>
    </w:p>
    <w:p w14:paraId="142D9B0D" w14:textId="7237F9FC" w:rsidR="006C0735" w:rsidRPr="00842DD1" w:rsidRDefault="006C0735" w:rsidP="006C0735">
      <w:pPr>
        <w:spacing w:line="240" w:lineRule="auto"/>
        <w:ind w:left="284"/>
        <w:rPr>
          <w:b/>
          <w:iCs/>
        </w:rPr>
      </w:pPr>
      <w:r w:rsidRPr="00842DD1">
        <w:rPr>
          <w:b/>
          <w:iCs/>
        </w:rPr>
        <w:t xml:space="preserve">Researchers who intend to apply for SSHRC Explore – </w:t>
      </w:r>
      <w:r w:rsidR="00C16FC2" w:rsidRPr="00842DD1">
        <w:rPr>
          <w:b/>
          <w:iCs/>
        </w:rPr>
        <w:t>M</w:t>
      </w:r>
      <w:r w:rsidRPr="00842DD1">
        <w:rPr>
          <w:b/>
          <w:iCs/>
        </w:rPr>
        <w:t>ajor Collaborative Project Seed Gran</w:t>
      </w:r>
      <w:r w:rsidR="0070061A" w:rsidRPr="00842DD1">
        <w:rPr>
          <w:b/>
          <w:iCs/>
        </w:rPr>
        <w:t>ts</w:t>
      </w:r>
      <w:r w:rsidRPr="00842DD1">
        <w:rPr>
          <w:b/>
          <w:iCs/>
        </w:rPr>
        <w:t xml:space="preserve"> are encouraged to contact their </w:t>
      </w:r>
      <w:r w:rsidR="00842DD1" w:rsidRPr="00842DD1">
        <w:rPr>
          <w:b/>
          <w:iCs/>
        </w:rPr>
        <w:t>Associate Dean</w:t>
      </w:r>
      <w:r w:rsidR="00005666">
        <w:rPr>
          <w:b/>
          <w:iCs/>
        </w:rPr>
        <w:t>,</w:t>
      </w:r>
      <w:r w:rsidR="00842DD1" w:rsidRPr="00842DD1">
        <w:rPr>
          <w:b/>
          <w:iCs/>
        </w:rPr>
        <w:t xml:space="preserve"> Research </w:t>
      </w:r>
      <w:r w:rsidR="003B164E" w:rsidRPr="00842DD1">
        <w:rPr>
          <w:b/>
          <w:iCs/>
        </w:rPr>
        <w:t xml:space="preserve">and ROADS </w:t>
      </w:r>
      <w:r w:rsidRPr="00842DD1">
        <w:rPr>
          <w:b/>
          <w:iCs/>
        </w:rPr>
        <w:t>for assistance and direction in proposal development.</w:t>
      </w:r>
    </w:p>
    <w:p w14:paraId="34A1FDE4" w14:textId="4D52AA34" w:rsidR="006C0735" w:rsidRPr="006E3FA6" w:rsidRDefault="00F308B0" w:rsidP="00F308B0">
      <w:pPr>
        <w:ind w:left="284"/>
      </w:pPr>
      <w:r w:rsidRPr="006E3FA6">
        <w:t xml:space="preserve">By the application deadline, applicants must submit to ROADS one signed paper copy or one electronic copy. </w:t>
      </w:r>
      <w:r w:rsidR="006C0735" w:rsidRPr="006E3FA6">
        <w:t xml:space="preserve">A complete SSHRC Explore </w:t>
      </w:r>
      <w:r w:rsidR="00C16FC2" w:rsidRPr="006E3FA6">
        <w:t>- M</w:t>
      </w:r>
      <w:r w:rsidR="006C0735" w:rsidRPr="006E3FA6">
        <w:t>ajor Collaborative Project Seed Gran</w:t>
      </w:r>
      <w:r w:rsidR="0070061A" w:rsidRPr="006E3FA6">
        <w:t>t</w:t>
      </w:r>
      <w:r w:rsidR="006C0735" w:rsidRPr="006E3FA6">
        <w:t xml:space="preserve"> application consists of:</w:t>
      </w:r>
    </w:p>
    <w:p w14:paraId="4595E833" w14:textId="77777777" w:rsidR="006C0735" w:rsidRPr="006E3FA6" w:rsidRDefault="006C0735" w:rsidP="006C0735">
      <w:pPr>
        <w:pStyle w:val="ListParagraph"/>
        <w:numPr>
          <w:ilvl w:val="0"/>
          <w:numId w:val="32"/>
        </w:numPr>
        <w:spacing w:after="0" w:line="240" w:lineRule="auto"/>
      </w:pPr>
      <w:r w:rsidRPr="006E3FA6">
        <w:t>ARB Application Form (signed by Department Chair or their delegate); and</w:t>
      </w:r>
    </w:p>
    <w:p w14:paraId="22F9B43C" w14:textId="77777777" w:rsidR="006C0735" w:rsidRPr="006E3FA6" w:rsidRDefault="006C0735" w:rsidP="006C0735">
      <w:pPr>
        <w:pStyle w:val="ListParagraph"/>
        <w:numPr>
          <w:ilvl w:val="0"/>
          <w:numId w:val="32"/>
        </w:numPr>
        <w:spacing w:after="0" w:line="240" w:lineRule="auto"/>
      </w:pPr>
      <w:r w:rsidRPr="006E3FA6">
        <w:t xml:space="preserve">Supporting Documentation: </w:t>
      </w:r>
      <w:r w:rsidRPr="006E3FA6">
        <w:tab/>
      </w:r>
    </w:p>
    <w:p w14:paraId="048B5092" w14:textId="77777777" w:rsidR="001B161F" w:rsidRDefault="006C0735" w:rsidP="001B161F">
      <w:pPr>
        <w:numPr>
          <w:ilvl w:val="1"/>
          <w:numId w:val="34"/>
        </w:numPr>
        <w:spacing w:after="0" w:line="240" w:lineRule="auto"/>
        <w:ind w:left="1276" w:hanging="425"/>
        <w:rPr>
          <w:bCs/>
        </w:rPr>
      </w:pPr>
      <w:r w:rsidRPr="006E3FA6">
        <w:rPr>
          <w:bCs/>
        </w:rPr>
        <w:t>budget justification (maximum 1 page)</w:t>
      </w:r>
    </w:p>
    <w:p w14:paraId="7075F410" w14:textId="77777777" w:rsidR="001B161F" w:rsidRDefault="005B0032" w:rsidP="001B161F">
      <w:pPr>
        <w:numPr>
          <w:ilvl w:val="1"/>
          <w:numId w:val="34"/>
        </w:numPr>
        <w:spacing w:after="0" w:line="240" w:lineRule="auto"/>
        <w:ind w:left="1276" w:hanging="425"/>
        <w:rPr>
          <w:bCs/>
        </w:rPr>
      </w:pPr>
      <w:r w:rsidRPr="001B161F">
        <w:rPr>
          <w:bCs/>
        </w:rPr>
        <w:lastRenderedPageBreak/>
        <w:t>detailed description</w:t>
      </w:r>
      <w:r w:rsidRPr="001B161F" w:rsidDel="005B0032">
        <w:rPr>
          <w:bCs/>
        </w:rPr>
        <w:t xml:space="preserve"> </w:t>
      </w:r>
      <w:r w:rsidR="006C0735" w:rsidRPr="001B161F">
        <w:rPr>
          <w:bCs/>
        </w:rPr>
        <w:t>(maximum 2 pages);</w:t>
      </w:r>
      <w:r w:rsidRPr="001B161F">
        <w:rPr>
          <w:bCs/>
        </w:rPr>
        <w:t xml:space="preserve"> </w:t>
      </w:r>
      <w:bookmarkStart w:id="13" w:name="_Hlk124952837"/>
      <w:r w:rsidRPr="001B161F">
        <w:rPr>
          <w:rStyle w:val="cf01"/>
          <w:rFonts w:asciiTheme="minorHAnsi" w:eastAsia="Times New Roman" w:hAnsiTheme="minorHAnsi"/>
        </w:rPr>
        <w:t xml:space="preserve">include any data management strategies, as applicable. </w:t>
      </w:r>
      <w:bookmarkEnd w:id="13"/>
      <w:r w:rsidR="004F104E" w:rsidRPr="001B161F">
        <w:rPr>
          <w:rStyle w:val="cf01"/>
          <w:rFonts w:asciiTheme="minorHAnsi" w:eastAsia="Times New Roman" w:hAnsiTheme="minorHAnsi"/>
        </w:rPr>
        <w:t xml:space="preserve">See </w:t>
      </w:r>
      <w:hyperlink r:id="rId32" w:history="1">
        <w:r w:rsidR="004F104E" w:rsidRPr="001B161F">
          <w:rPr>
            <w:rStyle w:val="Hyperlink"/>
            <w:rFonts w:eastAsia="Times New Roman" w:cs="Segoe UI"/>
            <w:color w:val="0070C0"/>
          </w:rPr>
          <w:t>Tri-Agency Data Management Policy</w:t>
        </w:r>
      </w:hyperlink>
      <w:r w:rsidR="004F104E" w:rsidRPr="001B161F">
        <w:rPr>
          <w:rFonts w:eastAsia="Times New Roman"/>
        </w:rPr>
        <w:t xml:space="preserve"> </w:t>
      </w:r>
    </w:p>
    <w:p w14:paraId="08725768" w14:textId="4EB0D205" w:rsidR="004F104E" w:rsidRPr="001B161F" w:rsidRDefault="004F104E" w:rsidP="001B161F">
      <w:pPr>
        <w:numPr>
          <w:ilvl w:val="1"/>
          <w:numId w:val="34"/>
        </w:numPr>
        <w:spacing w:after="0" w:line="240" w:lineRule="auto"/>
        <w:ind w:left="1276" w:hanging="425"/>
        <w:rPr>
          <w:bCs/>
        </w:rPr>
      </w:pPr>
      <w:r w:rsidRPr="001B161F">
        <w:rPr>
          <w:bCs/>
        </w:rPr>
        <w:t>relation to existing publications and long-term research goals (maximum 1 page)</w:t>
      </w:r>
    </w:p>
    <w:p w14:paraId="715DBA5D" w14:textId="77777777" w:rsidR="006C0735" w:rsidRPr="006E3FA6" w:rsidRDefault="006C0735" w:rsidP="006C0735">
      <w:pPr>
        <w:pStyle w:val="ListParagraph"/>
        <w:numPr>
          <w:ilvl w:val="1"/>
          <w:numId w:val="34"/>
        </w:numPr>
        <w:spacing w:after="0" w:line="240" w:lineRule="auto"/>
        <w:ind w:left="1276" w:hanging="425"/>
        <w:rPr>
          <w:bCs/>
        </w:rPr>
      </w:pPr>
      <w:r w:rsidRPr="006E3FA6">
        <w:rPr>
          <w:bCs/>
        </w:rPr>
        <w:t>interdisciplinary justification/future funding summary (maximum 1 page)</w:t>
      </w:r>
    </w:p>
    <w:p w14:paraId="46090884" w14:textId="77777777" w:rsidR="00DB3E6A" w:rsidRPr="00DB3E6A" w:rsidRDefault="00372060" w:rsidP="00DB3E6A">
      <w:pPr>
        <w:pStyle w:val="ListParagraph"/>
        <w:numPr>
          <w:ilvl w:val="0"/>
          <w:numId w:val="32"/>
        </w:numPr>
        <w:tabs>
          <w:tab w:val="right" w:pos="720"/>
        </w:tabs>
        <w:spacing w:after="0" w:line="240" w:lineRule="auto"/>
        <w:rPr>
          <w:rFonts w:ascii="Garamond" w:hAnsi="Garamond"/>
          <w:bCs/>
          <w:color w:val="0070C0"/>
        </w:rPr>
      </w:pPr>
      <w:hyperlink r:id="rId33" w:history="1">
        <w:r w:rsidR="00DB3E6A" w:rsidRPr="00DB3E6A">
          <w:rPr>
            <w:rStyle w:val="Hyperlink"/>
            <w:rFonts w:ascii="Garamond" w:hAnsi="Garamond"/>
            <w:bCs/>
            <w:color w:val="0070C0"/>
          </w:rPr>
          <w:t>SSHRC CV</w:t>
        </w:r>
      </w:hyperlink>
      <w:r w:rsidR="00DB3E6A" w:rsidRPr="00DB3E6A">
        <w:rPr>
          <w:rFonts w:ascii="Garamond" w:hAnsi="Garamond"/>
          <w:bCs/>
          <w:color w:val="0070C0"/>
        </w:rPr>
        <w:t xml:space="preserve"> and </w:t>
      </w:r>
      <w:hyperlink r:id="rId34" w:anchor="contributions" w:history="1">
        <w:r w:rsidR="00DB3E6A" w:rsidRPr="00DB3E6A">
          <w:rPr>
            <w:rStyle w:val="Hyperlink"/>
            <w:rFonts w:ascii="Garamond" w:hAnsi="Garamond"/>
            <w:color w:val="0070C0"/>
          </w:rPr>
          <w:t>SSHRC Relevant Research Contributions</w:t>
        </w:r>
      </w:hyperlink>
      <w:r w:rsidR="00DB3E6A" w:rsidRPr="00DB3E6A">
        <w:rPr>
          <w:rFonts w:ascii="Garamond" w:hAnsi="Garamond"/>
          <w:i/>
          <w:iCs/>
          <w:color w:val="0070C0"/>
        </w:rPr>
        <w:t xml:space="preserve"> </w:t>
      </w:r>
      <w:r w:rsidR="00DB3E6A" w:rsidRPr="00DB3E6A">
        <w:rPr>
          <w:rFonts w:ascii="Garamond" w:hAnsi="Garamond"/>
          <w:bCs/>
          <w:color w:val="0070C0"/>
        </w:rPr>
        <w:t xml:space="preserve">or </w:t>
      </w:r>
      <w:hyperlink r:id="rId35" w:history="1">
        <w:r w:rsidR="00DB3E6A" w:rsidRPr="00DB3E6A">
          <w:rPr>
            <w:rStyle w:val="Hyperlink"/>
            <w:rFonts w:ascii="Garamond" w:hAnsi="Garamond"/>
            <w:bCs/>
            <w:color w:val="0070C0"/>
          </w:rPr>
          <w:t>Common CV (CCV)</w:t>
        </w:r>
      </w:hyperlink>
    </w:p>
    <w:p w14:paraId="249F01EB" w14:textId="1EEE1205" w:rsidR="006C0735" w:rsidRPr="006E3FA6" w:rsidRDefault="006C0735" w:rsidP="00726465">
      <w:pPr>
        <w:pStyle w:val="ListParagraph"/>
        <w:numPr>
          <w:ilvl w:val="0"/>
          <w:numId w:val="32"/>
        </w:numPr>
        <w:tabs>
          <w:tab w:val="right" w:pos="720"/>
        </w:tabs>
        <w:spacing w:after="0" w:line="240" w:lineRule="auto"/>
        <w:rPr>
          <w:bCs/>
        </w:rPr>
      </w:pPr>
      <w:r w:rsidRPr="006E3FA6">
        <w:rPr>
          <w:bCs/>
        </w:rPr>
        <w:t>Additional documents:</w:t>
      </w:r>
    </w:p>
    <w:p w14:paraId="0319679F" w14:textId="77777777" w:rsidR="006C0735" w:rsidRPr="006E3FA6" w:rsidRDefault="006C0735" w:rsidP="00726465">
      <w:pPr>
        <w:pStyle w:val="ListParagraph"/>
        <w:numPr>
          <w:ilvl w:val="1"/>
          <w:numId w:val="36"/>
        </w:numPr>
        <w:tabs>
          <w:tab w:val="right" w:pos="720"/>
        </w:tabs>
        <w:spacing w:after="0" w:line="240" w:lineRule="auto"/>
        <w:ind w:left="1276" w:hanging="425"/>
        <w:rPr>
          <w:rStyle w:val="Emphasis"/>
          <w:rFonts w:eastAsiaTheme="majorEastAsia" w:cstheme="majorBidi"/>
          <w:b/>
          <w:bCs/>
          <w:i w:val="0"/>
          <w:iCs w:val="0"/>
          <w:color w:val="6F6F74" w:themeColor="accent1"/>
        </w:rPr>
      </w:pPr>
      <w:r w:rsidRPr="006E3FA6">
        <w:rPr>
          <w:rStyle w:val="Emphasis"/>
          <w:i w:val="0"/>
        </w:rPr>
        <w:t xml:space="preserve">Applications from </w:t>
      </w:r>
      <w:r w:rsidRPr="006E3FA6">
        <w:rPr>
          <w:rStyle w:val="Emphasis"/>
          <w:b/>
          <w:i w:val="0"/>
        </w:rPr>
        <w:t>postdoctoral fellows</w:t>
      </w:r>
      <w:r w:rsidRPr="006E3FA6">
        <w:rPr>
          <w:rStyle w:val="Emphasis"/>
          <w:i w:val="0"/>
        </w:rPr>
        <w:t xml:space="preserve"> must also include a letter of support (maximum one page) from their supervisors.</w:t>
      </w:r>
    </w:p>
    <w:p w14:paraId="00A8EAAD" w14:textId="77777777" w:rsidR="006C0735" w:rsidRPr="009804BA" w:rsidRDefault="006C0735" w:rsidP="00726465">
      <w:pPr>
        <w:pStyle w:val="ListParagraph"/>
        <w:numPr>
          <w:ilvl w:val="1"/>
          <w:numId w:val="36"/>
        </w:numPr>
        <w:tabs>
          <w:tab w:val="right" w:pos="720"/>
        </w:tabs>
        <w:spacing w:after="0" w:line="240" w:lineRule="auto"/>
        <w:ind w:left="1276" w:hanging="425"/>
        <w:rPr>
          <w:bCs/>
        </w:rPr>
      </w:pPr>
      <w:r w:rsidRPr="006E3FA6">
        <w:t xml:space="preserve">Applications from scholars holding </w:t>
      </w:r>
      <w:proofErr w:type="gramStart"/>
      <w:r w:rsidRPr="006E3FA6">
        <w:rPr>
          <w:b/>
        </w:rPr>
        <w:t>contractually-limited</w:t>
      </w:r>
      <w:proofErr w:type="gramEnd"/>
      <w:r w:rsidRPr="006E3FA6">
        <w:rPr>
          <w:b/>
        </w:rPr>
        <w:t xml:space="preserve"> appointments</w:t>
      </w:r>
      <w:r w:rsidRPr="006E3FA6">
        <w:t xml:space="preserve"> and/or </w:t>
      </w:r>
      <w:r w:rsidRPr="006E3FA6">
        <w:rPr>
          <w:b/>
        </w:rPr>
        <w:t>postdoctoral fellows</w:t>
      </w:r>
      <w:r w:rsidRPr="006E3FA6">
        <w:t xml:space="preserve"> must include a work</w:t>
      </w:r>
      <w:r w:rsidR="00AF78AD" w:rsidRPr="006E3FA6">
        <w:t xml:space="preserve"> </w:t>
      </w:r>
      <w:r w:rsidRPr="006E3FA6">
        <w:t xml:space="preserve">plan (maximum one page) to demonstrate that the activities for which they are requesting funding will be completed before their </w:t>
      </w:r>
      <w:r w:rsidRPr="009804BA">
        <w:t>appointment ends.</w:t>
      </w:r>
      <w:r w:rsidR="00FB7F45" w:rsidRPr="009804BA">
        <w:t xml:space="preserve"> </w:t>
      </w:r>
    </w:p>
    <w:p w14:paraId="6B3F8CE5" w14:textId="65EF58BD" w:rsidR="00FB7F45" w:rsidRPr="006E3FA6" w:rsidRDefault="00FB7F45" w:rsidP="00726465">
      <w:pPr>
        <w:pStyle w:val="ListParagraph"/>
        <w:numPr>
          <w:ilvl w:val="1"/>
          <w:numId w:val="36"/>
        </w:numPr>
        <w:tabs>
          <w:tab w:val="right" w:pos="720"/>
        </w:tabs>
        <w:spacing w:after="0" w:line="240" w:lineRule="auto"/>
        <w:ind w:left="1276" w:hanging="425"/>
        <w:rPr>
          <w:bCs/>
        </w:rPr>
      </w:pPr>
      <w:r w:rsidRPr="009804BA">
        <w:t xml:space="preserve">Postdoctoral fellows must obtain both the chair and the dean’s </w:t>
      </w:r>
      <w:r w:rsidR="00AF0C6A" w:rsidRPr="009804BA">
        <w:t xml:space="preserve">(or their delegate) </w:t>
      </w:r>
      <w:r w:rsidRPr="009804BA">
        <w:t>s</w:t>
      </w:r>
      <w:r w:rsidRPr="006E3FA6">
        <w:t>ignature</w:t>
      </w:r>
      <w:r w:rsidR="0056090A" w:rsidRPr="006E3FA6">
        <w:t>.</w:t>
      </w:r>
    </w:p>
    <w:p w14:paraId="000D17D0" w14:textId="77777777" w:rsidR="006C0735" w:rsidRPr="006E3FA6" w:rsidRDefault="006C0735" w:rsidP="00E17239">
      <w:pPr>
        <w:spacing w:after="0" w:line="240" w:lineRule="auto"/>
      </w:pPr>
    </w:p>
    <w:p w14:paraId="11573924" w14:textId="77777777" w:rsidR="00156BBB" w:rsidRPr="006E3FA6" w:rsidRDefault="00156BBB" w:rsidP="00726465">
      <w:pPr>
        <w:pStyle w:val="Heading3"/>
        <w:spacing w:before="0" w:line="240" w:lineRule="auto"/>
        <w:ind w:left="284"/>
        <w:rPr>
          <w:rFonts w:asciiTheme="minorHAnsi" w:hAnsiTheme="minorHAnsi"/>
          <w:color w:val="7A0000"/>
          <w:u w:val="single"/>
        </w:rPr>
      </w:pPr>
      <w:r w:rsidRPr="006E3FA6">
        <w:rPr>
          <w:rFonts w:asciiTheme="minorHAnsi" w:hAnsiTheme="minorHAnsi"/>
          <w:color w:val="7A0000"/>
          <w:u w:val="single"/>
        </w:rPr>
        <w:t>Eligible Expenditures</w:t>
      </w:r>
    </w:p>
    <w:p w14:paraId="5A37E4DB" w14:textId="77777777" w:rsidR="00726465" w:rsidRPr="006E3FA6" w:rsidRDefault="00726465" w:rsidP="00E17239">
      <w:pPr>
        <w:spacing w:after="0" w:line="240" w:lineRule="auto"/>
        <w:ind w:left="284"/>
      </w:pPr>
      <w:r w:rsidRPr="006E3FA6">
        <w:t xml:space="preserve">Applicants must itemize and justify the financial contribution requested from the ARB. Normally, the Board's funding will be limited to one-time or short-term requirements. The budget must detail any financial and/or </w:t>
      </w:r>
      <w:proofErr w:type="gramStart"/>
      <w:r w:rsidRPr="006E3FA6">
        <w:t>in kind</w:t>
      </w:r>
      <w:proofErr w:type="gramEnd"/>
      <w:r w:rsidRPr="006E3FA6">
        <w:t xml:space="preserve"> University support negotiated through the Department, Faculty and other university office(s) in support of project requirements (e.g. equipment, networking services, space, availability of specific facilities and resources and release time). McMaster's policy with respect to ownership and disposition of equipment applies.</w:t>
      </w:r>
    </w:p>
    <w:p w14:paraId="2D5397B2" w14:textId="77777777" w:rsidR="00726465" w:rsidRPr="006E3FA6" w:rsidRDefault="00726465" w:rsidP="00E17239">
      <w:pPr>
        <w:spacing w:after="0" w:line="240" w:lineRule="auto"/>
        <w:ind w:left="284"/>
      </w:pPr>
    </w:p>
    <w:p w14:paraId="7AEF4BC5" w14:textId="77777777" w:rsidR="00726465" w:rsidRPr="006E3FA6" w:rsidRDefault="00726465" w:rsidP="00E17239">
      <w:pPr>
        <w:spacing w:after="0" w:line="240" w:lineRule="auto"/>
        <w:ind w:left="284"/>
      </w:pPr>
      <w:r w:rsidRPr="006E3FA6">
        <w:t>The Board will consider all essential direct operating expenditures within the following categories:</w:t>
      </w:r>
    </w:p>
    <w:p w14:paraId="493AC90A" w14:textId="77777777" w:rsidR="000E65E1" w:rsidRPr="006E3FA6" w:rsidRDefault="000E65E1" w:rsidP="00E17239">
      <w:pPr>
        <w:spacing w:after="0" w:line="240" w:lineRule="auto"/>
      </w:pPr>
    </w:p>
    <w:p w14:paraId="6F3F63DD" w14:textId="77777777" w:rsidR="002D77A7" w:rsidRPr="006E3FA6" w:rsidRDefault="002D77A7" w:rsidP="002D77A7">
      <w:pPr>
        <w:pStyle w:val="Heading4"/>
        <w:spacing w:before="0" w:line="240" w:lineRule="auto"/>
        <w:ind w:left="720"/>
        <w:rPr>
          <w:rFonts w:asciiTheme="minorHAnsi" w:hAnsiTheme="minorHAnsi"/>
          <w:color w:val="6C1D45"/>
        </w:rPr>
      </w:pPr>
      <w:r w:rsidRPr="006E3FA6">
        <w:rPr>
          <w:rFonts w:asciiTheme="minorHAnsi" w:hAnsiTheme="minorHAnsi"/>
          <w:color w:val="6C1D45"/>
        </w:rPr>
        <w:t>Transportation</w:t>
      </w:r>
    </w:p>
    <w:p w14:paraId="6DE71051" w14:textId="77777777" w:rsidR="002D77A7" w:rsidRPr="006E3FA6" w:rsidRDefault="002D77A7" w:rsidP="00E17239">
      <w:pPr>
        <w:spacing w:after="0" w:line="240" w:lineRule="auto"/>
        <w:ind w:left="720"/>
      </w:pPr>
      <w:r w:rsidRPr="006E3FA6">
        <w:t xml:space="preserve">Applicants are encouraged to use the most economical travel arrangements available and suitable to their requirements. Applications quoting higher fares because of a lack of planning will not be considered </w:t>
      </w:r>
      <w:proofErr w:type="spellStart"/>
      <w:r w:rsidRPr="006E3FA6">
        <w:t>favourably</w:t>
      </w:r>
      <w:proofErr w:type="spellEnd"/>
      <w:r w:rsidRPr="006E3FA6">
        <w:t xml:space="preserve"> by the Board. Alternate means, such as interlibrary loans, mail or telephone calls for data collection should be utilized wherever possible.</w:t>
      </w:r>
    </w:p>
    <w:p w14:paraId="5469D728" w14:textId="77777777" w:rsidR="002D77A7" w:rsidRPr="006E3FA6" w:rsidRDefault="002D77A7" w:rsidP="00E17239">
      <w:pPr>
        <w:spacing w:after="0" w:line="240" w:lineRule="auto"/>
        <w:ind w:left="720"/>
      </w:pPr>
    </w:p>
    <w:p w14:paraId="7B6FEA60" w14:textId="77777777" w:rsidR="002D77A7" w:rsidRPr="006E3FA6" w:rsidRDefault="002D77A7" w:rsidP="00E17239">
      <w:pPr>
        <w:spacing w:after="0" w:line="240" w:lineRule="auto"/>
        <w:ind w:left="720"/>
      </w:pPr>
      <w:r w:rsidRPr="006E3FA6">
        <w:t xml:space="preserve">ARB support is limited to economy-class air fare, or comparable rail or bus fare, as justified. Travel support for day trips is limited to current public transportation costs (e.g. GO Transit fare for trips to Toronto). </w:t>
      </w:r>
    </w:p>
    <w:p w14:paraId="0F7F64B5" w14:textId="77777777" w:rsidR="002D77A7" w:rsidRPr="006E3FA6" w:rsidRDefault="002D77A7" w:rsidP="002D77A7">
      <w:pPr>
        <w:spacing w:after="0" w:line="240" w:lineRule="auto"/>
        <w:ind w:left="720"/>
      </w:pPr>
    </w:p>
    <w:p w14:paraId="254722BC" w14:textId="77777777" w:rsidR="00726465" w:rsidRPr="006E3FA6" w:rsidRDefault="00726465" w:rsidP="00726465">
      <w:pPr>
        <w:pStyle w:val="Heading4"/>
        <w:spacing w:before="0" w:line="240" w:lineRule="auto"/>
        <w:ind w:left="720"/>
        <w:rPr>
          <w:rFonts w:asciiTheme="minorHAnsi" w:hAnsiTheme="minorHAnsi"/>
          <w:color w:val="6C1D45"/>
        </w:rPr>
      </w:pPr>
      <w:proofErr w:type="spellStart"/>
      <w:r w:rsidRPr="006E3FA6">
        <w:rPr>
          <w:rFonts w:asciiTheme="minorHAnsi" w:hAnsiTheme="minorHAnsi"/>
          <w:color w:val="6C1D45"/>
        </w:rPr>
        <w:t>Kilometre</w:t>
      </w:r>
      <w:proofErr w:type="spellEnd"/>
      <w:r w:rsidRPr="006E3FA6">
        <w:rPr>
          <w:rFonts w:asciiTheme="minorHAnsi" w:hAnsiTheme="minorHAnsi"/>
          <w:color w:val="6C1D45"/>
        </w:rPr>
        <w:t xml:space="preserve"> Rates </w:t>
      </w:r>
    </w:p>
    <w:p w14:paraId="350C5BDE" w14:textId="77777777" w:rsidR="00726465" w:rsidRPr="006E3FA6" w:rsidRDefault="00726465" w:rsidP="00726465">
      <w:pPr>
        <w:spacing w:after="0" w:line="240" w:lineRule="auto"/>
        <w:ind w:left="720"/>
      </w:pPr>
      <w:r w:rsidRPr="006E3FA6">
        <w:t xml:space="preserve">The following University rates are to be used: </w:t>
      </w:r>
    </w:p>
    <w:p w14:paraId="7FF012B9" w14:textId="77777777" w:rsidR="009B1D3C" w:rsidRPr="00311D1E" w:rsidRDefault="00726465" w:rsidP="009B1D3C">
      <w:pPr>
        <w:pStyle w:val="ListParagraph"/>
        <w:numPr>
          <w:ilvl w:val="0"/>
          <w:numId w:val="24"/>
        </w:numPr>
        <w:spacing w:after="0" w:line="240" w:lineRule="auto"/>
        <w:ind w:left="1560" w:hanging="426"/>
      </w:pPr>
      <w:r w:rsidRPr="006E3FA6">
        <w:t xml:space="preserve"> </w:t>
      </w:r>
      <w:r w:rsidR="009B1D3C" w:rsidRPr="00311D1E">
        <w:t>6</w:t>
      </w:r>
      <w:r w:rsidR="009B1D3C">
        <w:t>8</w:t>
      </w:r>
      <w:r w:rsidR="009B1D3C" w:rsidRPr="00311D1E">
        <w:t xml:space="preserve">¢ per </w:t>
      </w:r>
      <w:proofErr w:type="spellStart"/>
      <w:r w:rsidR="009B1D3C" w:rsidRPr="00311D1E">
        <w:t>kilometre</w:t>
      </w:r>
      <w:proofErr w:type="spellEnd"/>
      <w:r w:rsidR="009B1D3C" w:rsidRPr="00311D1E">
        <w:t xml:space="preserve"> for the first 5,000 </w:t>
      </w:r>
      <w:proofErr w:type="spellStart"/>
      <w:r w:rsidR="009B1D3C" w:rsidRPr="00311D1E">
        <w:t>kilometres</w:t>
      </w:r>
      <w:proofErr w:type="spellEnd"/>
      <w:r w:rsidR="009B1D3C" w:rsidRPr="00311D1E">
        <w:t xml:space="preserve"> driven; and</w:t>
      </w:r>
    </w:p>
    <w:p w14:paraId="380B4FA0" w14:textId="77777777" w:rsidR="009B1D3C" w:rsidRPr="00311D1E" w:rsidRDefault="009B1D3C" w:rsidP="009B1D3C">
      <w:pPr>
        <w:pStyle w:val="ListParagraph"/>
        <w:numPr>
          <w:ilvl w:val="0"/>
          <w:numId w:val="24"/>
        </w:numPr>
        <w:spacing w:after="0" w:line="240" w:lineRule="auto"/>
        <w:ind w:left="1560" w:hanging="426"/>
      </w:pPr>
      <w:r w:rsidRPr="00311D1E">
        <w:t xml:space="preserve"> </w:t>
      </w:r>
      <w:r>
        <w:t>62</w:t>
      </w:r>
      <w:r w:rsidRPr="00311D1E">
        <w:t xml:space="preserve">¢ per </w:t>
      </w:r>
      <w:proofErr w:type="spellStart"/>
      <w:r w:rsidRPr="00311D1E">
        <w:t>kilometre</w:t>
      </w:r>
      <w:proofErr w:type="spellEnd"/>
      <w:r w:rsidRPr="00311D1E">
        <w:t xml:space="preserve"> driven after that.</w:t>
      </w:r>
    </w:p>
    <w:p w14:paraId="44473A02" w14:textId="3E1DAC7E" w:rsidR="007128BA" w:rsidRPr="00256E68" w:rsidRDefault="00372060" w:rsidP="007128BA">
      <w:pPr>
        <w:pStyle w:val="BodyText"/>
        <w:spacing w:before="247"/>
        <w:ind w:left="840" w:right="743" w:hanging="1"/>
        <w:rPr>
          <w:rFonts w:asciiTheme="minorHAnsi" w:hAnsiTheme="minorHAnsi"/>
          <w:b/>
          <w:color w:val="67AABF" w:themeColor="hyperlink"/>
          <w:u w:val="single"/>
        </w:rPr>
      </w:pPr>
      <w:hyperlink r:id="rId36">
        <w:r w:rsidR="00FC6225" w:rsidRPr="00256E68">
          <w:rPr>
            <w:rFonts w:asciiTheme="minorHAnsi" w:hAnsiTheme="minorHAnsi"/>
          </w:rPr>
          <w:t>For more detail, see McMaster’s</w:t>
        </w:r>
        <w:r w:rsidR="007128BA" w:rsidRPr="00256E68">
          <w:rPr>
            <w:rFonts w:asciiTheme="minorHAnsi" w:hAnsiTheme="minorHAnsi"/>
          </w:rPr>
          <w:t xml:space="preserve"> </w:t>
        </w:r>
      </w:hyperlink>
      <w:hyperlink r:id="rId37" w:history="1">
        <w:r w:rsidR="00110707" w:rsidRPr="00110707">
          <w:rPr>
            <w:rFonts w:asciiTheme="minorHAnsi" w:eastAsiaTheme="minorHAnsi" w:hAnsiTheme="minorHAnsi" w:cstheme="minorBidi"/>
            <w:color w:val="0000FF"/>
            <w:u w:val="single"/>
            <w:lang w:bidi="ar-SA"/>
          </w:rPr>
          <w:t>AP-01-Guidelines-Temp-for-RP-with-formatting-Apr-15-2024.pdf (mcmaster.ca)</w:t>
        </w:r>
      </w:hyperlink>
      <w:r w:rsidR="007128BA" w:rsidRPr="00256E68">
        <w:rPr>
          <w:rFonts w:asciiTheme="minorHAnsi" w:hAnsiTheme="minorHAnsi"/>
          <w:b/>
          <w:color w:val="006FC0"/>
        </w:rPr>
        <w:t>.</w:t>
      </w:r>
    </w:p>
    <w:p w14:paraId="2C72A39D" w14:textId="77777777" w:rsidR="00726465" w:rsidRPr="006E3FA6" w:rsidRDefault="00726465" w:rsidP="002D77A7">
      <w:pPr>
        <w:pStyle w:val="Heading4"/>
        <w:spacing w:before="0" w:line="240" w:lineRule="auto"/>
        <w:ind w:left="720"/>
        <w:rPr>
          <w:rFonts w:asciiTheme="minorHAnsi" w:hAnsiTheme="minorHAnsi"/>
          <w:b w:val="0"/>
          <w:color w:val="auto"/>
        </w:rPr>
      </w:pPr>
    </w:p>
    <w:p w14:paraId="44FB7CC0" w14:textId="77777777" w:rsidR="00726465" w:rsidRPr="006E3FA6" w:rsidRDefault="00726465" w:rsidP="002D77A7">
      <w:pPr>
        <w:pStyle w:val="Heading4"/>
        <w:spacing w:before="0" w:line="240" w:lineRule="auto"/>
        <w:ind w:left="720"/>
        <w:rPr>
          <w:rFonts w:asciiTheme="minorHAnsi" w:hAnsiTheme="minorHAnsi"/>
          <w:color w:val="6C1D45"/>
        </w:rPr>
      </w:pPr>
      <w:r w:rsidRPr="006E3FA6">
        <w:rPr>
          <w:rFonts w:asciiTheme="minorHAnsi" w:hAnsiTheme="minorHAnsi"/>
          <w:color w:val="6C1D45"/>
        </w:rPr>
        <w:t xml:space="preserve">Subsistence  </w:t>
      </w:r>
    </w:p>
    <w:p w14:paraId="7EEDACDC" w14:textId="77777777" w:rsidR="002D77A7" w:rsidRPr="006E3FA6" w:rsidRDefault="00726465" w:rsidP="00E17239">
      <w:pPr>
        <w:spacing w:after="0" w:line="240" w:lineRule="auto"/>
        <w:ind w:left="720"/>
      </w:pPr>
      <w:r w:rsidRPr="006E3FA6">
        <w:t xml:space="preserve">The maximum per diems for Meals and Lodging are outlined in the table below. </w:t>
      </w:r>
      <w:r w:rsidR="002D77A7" w:rsidRPr="006E3FA6">
        <w:t>Scanned copies of original receipts must accompany expense report.</w:t>
      </w:r>
    </w:p>
    <w:p w14:paraId="7F0D6F53" w14:textId="77777777" w:rsidR="002D77A7" w:rsidRPr="006E3FA6" w:rsidRDefault="002D77A7" w:rsidP="002D77A7">
      <w:pPr>
        <w:spacing w:after="0" w:line="240" w:lineRule="auto"/>
        <w:ind w:left="993"/>
      </w:pPr>
    </w:p>
    <w:p w14:paraId="32008122" w14:textId="77777777" w:rsidR="009B1D3C" w:rsidRPr="00311D1E" w:rsidRDefault="009B1D3C" w:rsidP="009B1D3C">
      <w:pPr>
        <w:spacing w:after="0" w:line="240" w:lineRule="auto"/>
        <w:ind w:firstLine="720"/>
        <w:jc w:val="both"/>
      </w:pPr>
      <w:r w:rsidRPr="00311D1E">
        <w:rPr>
          <w:b/>
        </w:rPr>
        <w:t>Meals</w:t>
      </w:r>
      <w:r w:rsidRPr="00311D1E">
        <w:t>:</w:t>
      </w:r>
      <w:r w:rsidRPr="00311D1E">
        <w:tab/>
        <w:t xml:space="preserve">Rates to be used prior to </w:t>
      </w:r>
      <w:r>
        <w:t>February 29, 2024</w:t>
      </w:r>
      <w:r w:rsidRPr="00311D1E">
        <w:t xml:space="preserve">: </w:t>
      </w:r>
    </w:p>
    <w:p w14:paraId="5866C60C" w14:textId="77777777" w:rsidR="009B1D3C" w:rsidRPr="00311D1E" w:rsidRDefault="009B1D3C" w:rsidP="009B1D3C">
      <w:pPr>
        <w:tabs>
          <w:tab w:val="left" w:pos="720"/>
          <w:tab w:val="left" w:pos="2520"/>
        </w:tabs>
        <w:spacing w:after="0" w:line="240" w:lineRule="auto"/>
        <w:ind w:left="1440"/>
        <w:jc w:val="both"/>
        <w:rPr>
          <w:b/>
        </w:rPr>
      </w:pPr>
      <w:r w:rsidRPr="00311D1E">
        <w:t>In Canada: $9</w:t>
      </w:r>
      <w:r>
        <w:t>8.45</w:t>
      </w:r>
      <w:r w:rsidRPr="00311D1E">
        <w:t xml:space="preserve"> CDN per diem maximum </w:t>
      </w:r>
    </w:p>
    <w:p w14:paraId="79C8AC3F" w14:textId="77777777" w:rsidR="009B1D3C" w:rsidRPr="00311D1E" w:rsidRDefault="009B1D3C" w:rsidP="009B1D3C">
      <w:pPr>
        <w:spacing w:after="0" w:line="240" w:lineRule="auto"/>
        <w:ind w:left="1440"/>
        <w:jc w:val="both"/>
      </w:pPr>
      <w:r w:rsidRPr="00311D1E">
        <w:t>Outside of Canada: $9</w:t>
      </w:r>
      <w:r>
        <w:t>8.45</w:t>
      </w:r>
      <w:r w:rsidRPr="00311D1E">
        <w:t xml:space="preserve"> US per diem maximum</w:t>
      </w:r>
    </w:p>
    <w:p w14:paraId="2284F0B0" w14:textId="77777777" w:rsidR="009B1D3C" w:rsidRPr="00311D1E" w:rsidRDefault="009B1D3C" w:rsidP="009B1D3C">
      <w:pPr>
        <w:spacing w:after="0" w:line="240" w:lineRule="auto"/>
        <w:ind w:left="1440"/>
        <w:jc w:val="both"/>
      </w:pPr>
    </w:p>
    <w:p w14:paraId="611256E5" w14:textId="77777777" w:rsidR="009B1D3C" w:rsidRPr="00311D1E" w:rsidRDefault="009B1D3C" w:rsidP="009B1D3C">
      <w:pPr>
        <w:spacing w:after="0" w:line="240" w:lineRule="auto"/>
        <w:ind w:left="1440"/>
        <w:jc w:val="both"/>
      </w:pPr>
      <w:r w:rsidRPr="00311D1E">
        <w:t xml:space="preserve">Rates to be used effective </w:t>
      </w:r>
      <w:r>
        <w:t xml:space="preserve">February 29, </w:t>
      </w:r>
      <w:r w:rsidRPr="00311D1E">
        <w:t>202</w:t>
      </w:r>
      <w:r>
        <w:t>4</w:t>
      </w:r>
      <w:r w:rsidRPr="00311D1E">
        <w:t xml:space="preserve">: </w:t>
      </w:r>
    </w:p>
    <w:p w14:paraId="179C698F" w14:textId="77777777" w:rsidR="009B1D3C" w:rsidRPr="00311D1E" w:rsidRDefault="009B1D3C" w:rsidP="009B1D3C">
      <w:pPr>
        <w:spacing w:after="0" w:line="240" w:lineRule="auto"/>
        <w:ind w:left="1440"/>
        <w:jc w:val="both"/>
      </w:pPr>
      <w:r w:rsidRPr="00311D1E">
        <w:t>In Canada: $</w:t>
      </w:r>
      <w:r>
        <w:t>106.10</w:t>
      </w:r>
      <w:r w:rsidRPr="00311D1E">
        <w:t xml:space="preserve"> CDN per diem maximum ($2</w:t>
      </w:r>
      <w:r>
        <w:t>3.6</w:t>
      </w:r>
      <w:r w:rsidRPr="00311D1E">
        <w:t>0/breakfast, $2</w:t>
      </w:r>
      <w:r>
        <w:t>3.90</w:t>
      </w:r>
      <w:r w:rsidRPr="00311D1E">
        <w:t>/lunch, $5</w:t>
      </w:r>
      <w:r>
        <w:t>8.60</w:t>
      </w:r>
      <w:r w:rsidRPr="00311D1E">
        <w:t>/dinner)</w:t>
      </w:r>
    </w:p>
    <w:p w14:paraId="668A48AC" w14:textId="77777777" w:rsidR="009B1D3C" w:rsidRPr="00311D1E" w:rsidRDefault="009B1D3C" w:rsidP="009B1D3C">
      <w:pPr>
        <w:spacing w:after="0" w:line="240" w:lineRule="auto"/>
        <w:ind w:left="1440"/>
        <w:jc w:val="both"/>
      </w:pPr>
      <w:r w:rsidRPr="00311D1E">
        <w:t>Outside of Canada: $</w:t>
      </w:r>
      <w:r>
        <w:t>106.10</w:t>
      </w:r>
      <w:r w:rsidRPr="00311D1E">
        <w:t xml:space="preserve"> US per diem maximum ($2</w:t>
      </w:r>
      <w:r>
        <w:t>3.60</w:t>
      </w:r>
      <w:r w:rsidRPr="00311D1E">
        <w:t>/breakfast, $2</w:t>
      </w:r>
      <w:r>
        <w:t>3.90</w:t>
      </w:r>
      <w:r w:rsidRPr="00311D1E">
        <w:t>/lunch, $5</w:t>
      </w:r>
      <w:r>
        <w:t>8.60</w:t>
      </w:r>
      <w:r w:rsidRPr="00311D1E">
        <w:t>/dinner)</w:t>
      </w:r>
    </w:p>
    <w:p w14:paraId="09E36818" w14:textId="73692A66" w:rsidR="00C44CE7" w:rsidRPr="006E3FA6" w:rsidRDefault="00C44CE7" w:rsidP="00F471F7">
      <w:pPr>
        <w:spacing w:after="0" w:line="240" w:lineRule="auto"/>
        <w:ind w:firstLine="720"/>
        <w:rPr>
          <w:b/>
        </w:rPr>
      </w:pPr>
    </w:p>
    <w:p w14:paraId="0C07D0EC" w14:textId="49672715" w:rsidR="007128BA" w:rsidRPr="00C05AEA" w:rsidRDefault="00277C92" w:rsidP="007128BA">
      <w:pPr>
        <w:spacing w:after="0" w:line="240" w:lineRule="auto"/>
        <w:ind w:left="720"/>
        <w:rPr>
          <w:b/>
          <w:color w:val="67AABF" w:themeColor="hyperlink"/>
          <w:u w:val="single"/>
        </w:rPr>
      </w:pPr>
      <w:r w:rsidRPr="006E3FA6">
        <w:rPr>
          <w:b/>
        </w:rPr>
        <w:lastRenderedPageBreak/>
        <w:t xml:space="preserve">Accommodation: </w:t>
      </w:r>
      <w:r w:rsidRPr="006E3FA6">
        <w:t xml:space="preserve">Reasonable cost of a single room per traveler. Complete details are available on </w:t>
      </w:r>
      <w:hyperlink r:id="rId38">
        <w:r w:rsidRPr="00C05AEA">
          <w:t>the  McMaster’</w:t>
        </w:r>
        <w:r w:rsidR="007128BA" w:rsidRPr="00C05AEA">
          <w:t xml:space="preserve">s </w:t>
        </w:r>
      </w:hyperlink>
      <w:hyperlink r:id="rId39" w:history="1">
        <w:r w:rsidR="00110707" w:rsidRPr="00110707">
          <w:rPr>
            <w:color w:val="0000FF"/>
            <w:u w:val="single"/>
          </w:rPr>
          <w:t>AP-01-Guidelines-Temp-for-RP-with-formatting-Apr-15-2024.pdf (mcmaster.ca)</w:t>
        </w:r>
      </w:hyperlink>
    </w:p>
    <w:p w14:paraId="0AD2282A" w14:textId="77777777" w:rsidR="00174DF2" w:rsidRPr="006E3FA6" w:rsidRDefault="00174DF2" w:rsidP="00174DF2">
      <w:pPr>
        <w:spacing w:after="0" w:line="240" w:lineRule="auto"/>
        <w:ind w:left="993"/>
      </w:pPr>
    </w:p>
    <w:p w14:paraId="3B5B8DD1" w14:textId="2E8D91F5" w:rsidR="002D77A7" w:rsidRPr="006E3FA6" w:rsidRDefault="002D77A7" w:rsidP="002F2C43">
      <w:pPr>
        <w:spacing w:after="0" w:line="240" w:lineRule="auto"/>
        <w:ind w:left="720"/>
      </w:pPr>
      <w:r w:rsidRPr="006E3FA6">
        <w:t>Remuneration will not normally exceed 28 days.  (The Board may be willing to consider requests that exceed 28 days provided:   the applicant provides a rationale that justifies the longer support period</w:t>
      </w:r>
      <w:r w:rsidR="00657E34" w:rsidRPr="006E3FA6">
        <w:t xml:space="preserve"> </w:t>
      </w:r>
      <w:r w:rsidRPr="006E3FA6">
        <w:t xml:space="preserve">and specifies the </w:t>
      </w:r>
      <w:proofErr w:type="gramStart"/>
      <w:r w:rsidRPr="006E3FA6">
        <w:t>manner in which</w:t>
      </w:r>
      <w:proofErr w:type="gramEnd"/>
      <w:r w:rsidRPr="006E3FA6">
        <w:t xml:space="preserve"> the funds will be used in as economical a manner as possible.)</w:t>
      </w:r>
    </w:p>
    <w:p w14:paraId="425C4FBF" w14:textId="77777777" w:rsidR="002D77A7" w:rsidRPr="006E3FA6" w:rsidRDefault="002D77A7" w:rsidP="002F2C43">
      <w:pPr>
        <w:spacing w:after="0" w:line="240" w:lineRule="auto"/>
        <w:ind w:left="720"/>
      </w:pPr>
      <w:r w:rsidRPr="006E3FA6">
        <w:t>Day trips are not eligible for a subsistence allowance.</w:t>
      </w:r>
    </w:p>
    <w:p w14:paraId="6A6C3930" w14:textId="77777777" w:rsidR="002D77A7" w:rsidRPr="006E3FA6" w:rsidRDefault="002D77A7" w:rsidP="002F2C43">
      <w:pPr>
        <w:spacing w:after="0" w:line="240" w:lineRule="auto"/>
        <w:ind w:left="720"/>
      </w:pPr>
    </w:p>
    <w:p w14:paraId="54DAC85E" w14:textId="77777777" w:rsidR="002D77A7" w:rsidRPr="006E3FA6" w:rsidRDefault="002D77A7" w:rsidP="002F2C43">
      <w:pPr>
        <w:spacing w:after="0" w:line="240" w:lineRule="auto"/>
        <w:ind w:left="720"/>
      </w:pPr>
      <w:r w:rsidRPr="006E3FA6">
        <w:t xml:space="preserve">Subsistence funding will not normally be provided </w:t>
      </w:r>
      <w:proofErr w:type="gramStart"/>
      <w:r w:rsidRPr="006E3FA6">
        <w:t>in excess of</w:t>
      </w:r>
      <w:proofErr w:type="gramEnd"/>
      <w:r w:rsidRPr="006E3FA6">
        <w:t xml:space="preserve"> the daily rates noted below. Justification must be provided for requests that exceed the recommended rates.</w:t>
      </w:r>
    </w:p>
    <w:p w14:paraId="6845A77F" w14:textId="77777777" w:rsidR="002D77A7" w:rsidRPr="006E3FA6" w:rsidRDefault="002D77A7" w:rsidP="002F2C43">
      <w:pPr>
        <w:spacing w:after="0" w:line="240" w:lineRule="auto"/>
        <w:ind w:left="720"/>
      </w:pPr>
    </w:p>
    <w:p w14:paraId="53379BD0" w14:textId="77777777" w:rsidR="00726465" w:rsidRPr="006E3FA6" w:rsidRDefault="00726465" w:rsidP="002D77A7">
      <w:pPr>
        <w:pStyle w:val="Heading4"/>
        <w:spacing w:before="0" w:line="240" w:lineRule="auto"/>
        <w:ind w:left="720"/>
        <w:rPr>
          <w:rFonts w:asciiTheme="minorHAnsi" w:hAnsiTheme="minorHAnsi"/>
          <w:color w:val="6C1D45"/>
        </w:rPr>
      </w:pPr>
      <w:r w:rsidRPr="006E3FA6">
        <w:rPr>
          <w:rFonts w:asciiTheme="minorHAnsi" w:hAnsiTheme="minorHAnsi"/>
          <w:color w:val="6C1D45"/>
        </w:rPr>
        <w:t>Personnel</w:t>
      </w:r>
    </w:p>
    <w:p w14:paraId="17614AE3" w14:textId="5B16E779" w:rsidR="00F308B0" w:rsidRPr="006E3FA6" w:rsidRDefault="00726465" w:rsidP="00F308B0">
      <w:pPr>
        <w:spacing w:after="0" w:line="240" w:lineRule="auto"/>
        <w:ind w:left="720"/>
      </w:pPr>
      <w:r w:rsidRPr="006E3FA6">
        <w:t>Research assistance, both student and technical, essential to the initiation, development and/or achievement of the objectives of the proposed research is eligible for support. The tasks and/or role, salary rates and employment term of the assistant should be clearly defined in the Budget Justification.</w:t>
      </w:r>
      <w:r w:rsidR="00174DF2" w:rsidRPr="006E3FA6">
        <w:t xml:space="preserve"> </w:t>
      </w:r>
      <w:r w:rsidR="00B732AD" w:rsidRPr="006E3FA6">
        <w:t>Please consult with your Faculty Offi</w:t>
      </w:r>
      <w:r w:rsidR="00B93999" w:rsidRPr="006E3FA6">
        <w:t>5</w:t>
      </w:r>
      <w:r w:rsidR="00B732AD" w:rsidRPr="006E3FA6">
        <w:t xml:space="preserve">ce for guidance as needed. </w:t>
      </w:r>
    </w:p>
    <w:p w14:paraId="0A82B585" w14:textId="77777777" w:rsidR="002D77A7" w:rsidRPr="006E3FA6" w:rsidRDefault="002D77A7" w:rsidP="002D77A7">
      <w:pPr>
        <w:pStyle w:val="Heading4"/>
        <w:spacing w:before="0" w:line="240" w:lineRule="auto"/>
        <w:ind w:left="720"/>
        <w:rPr>
          <w:rFonts w:asciiTheme="minorHAnsi" w:hAnsiTheme="minorHAnsi"/>
          <w:color w:val="6C1D45"/>
        </w:rPr>
      </w:pPr>
    </w:p>
    <w:p w14:paraId="537A54A1" w14:textId="77777777" w:rsidR="00726465" w:rsidRPr="006E3FA6" w:rsidRDefault="00726465" w:rsidP="002D77A7">
      <w:pPr>
        <w:pStyle w:val="Heading4"/>
        <w:spacing w:before="0" w:line="240" w:lineRule="auto"/>
        <w:ind w:left="720"/>
        <w:rPr>
          <w:rFonts w:asciiTheme="minorHAnsi" w:hAnsiTheme="minorHAnsi"/>
          <w:color w:val="6C1D45"/>
        </w:rPr>
      </w:pPr>
      <w:r w:rsidRPr="006E3FA6">
        <w:rPr>
          <w:rFonts w:asciiTheme="minorHAnsi" w:hAnsiTheme="minorHAnsi"/>
          <w:color w:val="6C1D45"/>
        </w:rPr>
        <w:t>Materials, Supplies, and Services</w:t>
      </w:r>
    </w:p>
    <w:p w14:paraId="170D8FDD" w14:textId="77777777" w:rsidR="00726465" w:rsidRPr="006E3FA6" w:rsidRDefault="00726465" w:rsidP="00726465">
      <w:pPr>
        <w:spacing w:after="0" w:line="240" w:lineRule="auto"/>
        <w:ind w:left="720"/>
      </w:pPr>
      <w:r w:rsidRPr="006E3FA6">
        <w:t>Reasonable and justified amounts for requirements such as postage, copying, long distance telephone calls, and specialized data directly related to the proposed research are eligible for consideration.</w:t>
      </w:r>
    </w:p>
    <w:p w14:paraId="7E54CFEC" w14:textId="77777777" w:rsidR="00726465" w:rsidRPr="006E3FA6" w:rsidRDefault="00726465" w:rsidP="00726465">
      <w:pPr>
        <w:pStyle w:val="Heading4"/>
        <w:spacing w:before="0" w:line="240" w:lineRule="auto"/>
        <w:ind w:left="284"/>
        <w:rPr>
          <w:rFonts w:asciiTheme="minorHAnsi" w:hAnsiTheme="minorHAnsi"/>
          <w:color w:val="auto"/>
        </w:rPr>
      </w:pPr>
    </w:p>
    <w:p w14:paraId="16B98B3F" w14:textId="77777777" w:rsidR="00726465" w:rsidRPr="006E3FA6" w:rsidRDefault="00726465" w:rsidP="00726465">
      <w:pPr>
        <w:pStyle w:val="Heading4"/>
        <w:spacing w:before="0" w:line="240" w:lineRule="auto"/>
        <w:ind w:left="720"/>
        <w:rPr>
          <w:rFonts w:asciiTheme="minorHAnsi" w:hAnsiTheme="minorHAnsi"/>
          <w:color w:val="6C1D45"/>
        </w:rPr>
      </w:pPr>
      <w:r w:rsidRPr="006E3FA6">
        <w:rPr>
          <w:rFonts w:asciiTheme="minorHAnsi" w:hAnsiTheme="minorHAnsi"/>
          <w:color w:val="6C1D45"/>
        </w:rPr>
        <w:t>Equipment and Computer Services</w:t>
      </w:r>
    </w:p>
    <w:p w14:paraId="671FA2C3" w14:textId="77777777" w:rsidR="00726465" w:rsidRPr="006E3FA6" w:rsidRDefault="00726465" w:rsidP="00726465">
      <w:pPr>
        <w:spacing w:after="0" w:line="240" w:lineRule="auto"/>
        <w:ind w:left="720"/>
      </w:pPr>
      <w:r w:rsidRPr="006E3FA6">
        <w:t>Equipment and computing needs are eligible for support only if clearly central to the research goals and the need is well documented. Equipment purchased with ARB funds remains the property of the University.  McMaster's policy with respect to ownership and disposition of equipment applies.</w:t>
      </w:r>
    </w:p>
    <w:p w14:paraId="43B3F97E" w14:textId="77777777" w:rsidR="00726465" w:rsidRPr="006E3FA6" w:rsidRDefault="00726465" w:rsidP="002F2C43">
      <w:pPr>
        <w:spacing w:after="0" w:line="240" w:lineRule="auto"/>
      </w:pPr>
    </w:p>
    <w:p w14:paraId="6A772AC4" w14:textId="77777777" w:rsidR="002D77A7" w:rsidRPr="006E3FA6" w:rsidRDefault="002D77A7" w:rsidP="002D77A7">
      <w:pPr>
        <w:pStyle w:val="Heading4"/>
        <w:spacing w:before="0" w:line="240" w:lineRule="auto"/>
        <w:ind w:left="720"/>
        <w:rPr>
          <w:rFonts w:asciiTheme="minorHAnsi" w:hAnsiTheme="minorHAnsi"/>
          <w:color w:val="6C1D45"/>
        </w:rPr>
      </w:pPr>
      <w:r w:rsidRPr="006E3FA6">
        <w:rPr>
          <w:rFonts w:asciiTheme="minorHAnsi" w:hAnsiTheme="minorHAnsi"/>
          <w:color w:val="6C1D45"/>
        </w:rPr>
        <w:t>Other</w:t>
      </w:r>
    </w:p>
    <w:p w14:paraId="78B092CB" w14:textId="1735D0EB" w:rsidR="002D77A7" w:rsidRPr="006E3FA6" w:rsidRDefault="002D77A7" w:rsidP="002F2C43">
      <w:pPr>
        <w:spacing w:line="240" w:lineRule="auto"/>
        <w:ind w:left="720"/>
      </w:pPr>
      <w:r w:rsidRPr="006E3FA6">
        <w:t xml:space="preserve">For SSHRC Explore </w:t>
      </w:r>
      <w:r w:rsidR="00C16FC2" w:rsidRPr="006E3FA6">
        <w:t>- M</w:t>
      </w:r>
      <w:r w:rsidRPr="006E3FA6">
        <w:t>ajor Collaborative Project Seed Gran</w:t>
      </w:r>
      <w:r w:rsidR="0070061A" w:rsidRPr="006E3FA6">
        <w:t>ts</w:t>
      </w:r>
      <w:r w:rsidRPr="006E3FA6">
        <w:t xml:space="preserve"> other justified costs associated with, but not limited to, such needs as workshops, consultations and application development are eligible for consideration. </w:t>
      </w:r>
    </w:p>
    <w:p w14:paraId="28FC5DAC" w14:textId="77777777" w:rsidR="002D77A7" w:rsidRPr="006E3FA6" w:rsidRDefault="002D77A7" w:rsidP="002F2C43">
      <w:pPr>
        <w:spacing w:line="240" w:lineRule="auto"/>
        <w:ind w:left="720"/>
      </w:pPr>
      <w:r w:rsidRPr="006E3FA6">
        <w:t>Applicants may load project expenditures on either the front or back end of the grant period but may not exceed $10,000 during the first twelve (12) months.</w:t>
      </w:r>
    </w:p>
    <w:p w14:paraId="74A266EC" w14:textId="77777777" w:rsidR="00156BBB" w:rsidRPr="006E3FA6" w:rsidRDefault="00156BBB" w:rsidP="00726465">
      <w:pPr>
        <w:pStyle w:val="Heading3"/>
        <w:spacing w:before="0" w:line="240" w:lineRule="auto"/>
        <w:ind w:left="284"/>
        <w:rPr>
          <w:rFonts w:asciiTheme="minorHAnsi" w:hAnsiTheme="minorHAnsi"/>
          <w:color w:val="7A0000"/>
          <w:u w:val="single"/>
        </w:rPr>
      </w:pPr>
      <w:r w:rsidRPr="006E3FA6">
        <w:rPr>
          <w:rFonts w:asciiTheme="minorHAnsi" w:hAnsiTheme="minorHAnsi"/>
          <w:color w:val="7A0000"/>
          <w:u w:val="single"/>
        </w:rPr>
        <w:t>Evaluation Criteria</w:t>
      </w:r>
    </w:p>
    <w:p w14:paraId="15536AF7" w14:textId="3B023570" w:rsidR="006C0735" w:rsidRPr="006E3FA6" w:rsidRDefault="006C0735" w:rsidP="002F2C43">
      <w:pPr>
        <w:spacing w:after="0" w:line="240" w:lineRule="auto"/>
        <w:ind w:left="284"/>
      </w:pPr>
      <w:r w:rsidRPr="006E3FA6">
        <w:t xml:space="preserve">SSHRC Explore </w:t>
      </w:r>
      <w:r w:rsidR="00C16FC2" w:rsidRPr="006E3FA6">
        <w:t>- M</w:t>
      </w:r>
      <w:r w:rsidRPr="006E3FA6">
        <w:t>ajor Collaborative Project Seed Gran</w:t>
      </w:r>
      <w:r w:rsidR="0070061A" w:rsidRPr="006E3FA6">
        <w:t>t</w:t>
      </w:r>
      <w:r w:rsidRPr="006E3FA6">
        <w:t xml:space="preserve"> applications will be assessed for the following:</w:t>
      </w:r>
    </w:p>
    <w:p w14:paraId="3C3B49B1" w14:textId="77777777" w:rsidR="000E65E1" w:rsidRPr="006E3FA6" w:rsidRDefault="000E65E1" w:rsidP="002F2C43">
      <w:pPr>
        <w:spacing w:after="0" w:line="240" w:lineRule="auto"/>
        <w:ind w:left="284"/>
      </w:pPr>
    </w:p>
    <w:p w14:paraId="4986DB79" w14:textId="77777777" w:rsidR="006C0735" w:rsidRPr="006E3FA6" w:rsidRDefault="006C0735" w:rsidP="001D6895">
      <w:pPr>
        <w:pStyle w:val="ListParagraph"/>
        <w:numPr>
          <w:ilvl w:val="0"/>
          <w:numId w:val="28"/>
        </w:numPr>
        <w:spacing w:after="0" w:line="240" w:lineRule="auto"/>
        <w:ind w:left="709" w:hanging="283"/>
      </w:pPr>
      <w:r w:rsidRPr="006E3FA6">
        <w:t>Are interdisciplinary and/or multidisciplinary and involve at least three investigators</w:t>
      </w:r>
      <w:r w:rsidRPr="006E3FA6">
        <w:rPr>
          <w:bCs/>
          <w:iCs/>
        </w:rPr>
        <w:t xml:space="preserve">; </w:t>
      </w:r>
      <w:r w:rsidRPr="006E3FA6">
        <w:t>the Principal Investigator must be affiliated with McMaster University;</w:t>
      </w:r>
      <w:r w:rsidRPr="006E3FA6">
        <w:rPr>
          <w:bCs/>
          <w:iCs/>
        </w:rPr>
        <w:t xml:space="preserve"> the other two can be from other institutions.</w:t>
      </w:r>
    </w:p>
    <w:p w14:paraId="559E986F" w14:textId="77777777" w:rsidR="006C0735" w:rsidRPr="006E3FA6" w:rsidRDefault="006C0735" w:rsidP="001D6895">
      <w:pPr>
        <w:pStyle w:val="Heading4"/>
        <w:numPr>
          <w:ilvl w:val="0"/>
          <w:numId w:val="28"/>
        </w:numPr>
        <w:spacing w:before="0" w:line="240" w:lineRule="auto"/>
        <w:ind w:left="709" w:hanging="283"/>
        <w:rPr>
          <w:rFonts w:asciiTheme="minorHAnsi" w:hAnsiTheme="minorHAnsi"/>
          <w:b w:val="0"/>
          <w:i w:val="0"/>
          <w:color w:val="auto"/>
        </w:rPr>
      </w:pPr>
      <w:r w:rsidRPr="006E3FA6">
        <w:rPr>
          <w:rFonts w:asciiTheme="minorHAnsi" w:hAnsiTheme="minorHAnsi"/>
          <w:b w:val="0"/>
          <w:i w:val="0"/>
          <w:color w:val="auto"/>
        </w:rPr>
        <w:t xml:space="preserve">A clear and specific plan for </w:t>
      </w:r>
      <w:proofErr w:type="gramStart"/>
      <w:r w:rsidRPr="006E3FA6">
        <w:rPr>
          <w:rFonts w:asciiTheme="minorHAnsi" w:hAnsiTheme="minorHAnsi"/>
          <w:b w:val="0"/>
          <w:i w:val="0"/>
          <w:color w:val="auto"/>
        </w:rPr>
        <w:t>submitting an application</w:t>
      </w:r>
      <w:proofErr w:type="gramEnd"/>
      <w:r w:rsidRPr="006E3FA6">
        <w:rPr>
          <w:rFonts w:asciiTheme="minorHAnsi" w:hAnsiTheme="minorHAnsi"/>
          <w:b w:val="0"/>
          <w:i w:val="0"/>
          <w:color w:val="auto"/>
        </w:rPr>
        <w:t xml:space="preserve"> for a major external grant request for over $100,000 within two years;</w:t>
      </w:r>
    </w:p>
    <w:p w14:paraId="404AAE3F" w14:textId="23785A33" w:rsidR="006C0735" w:rsidRPr="006E3FA6" w:rsidRDefault="006C0735" w:rsidP="002F2C43">
      <w:pPr>
        <w:pStyle w:val="ListParagraph"/>
        <w:numPr>
          <w:ilvl w:val="0"/>
          <w:numId w:val="28"/>
        </w:numPr>
        <w:spacing w:after="0" w:line="240" w:lineRule="auto"/>
        <w:ind w:left="709" w:hanging="283"/>
      </w:pPr>
      <w:r w:rsidRPr="006E3FA6">
        <w:t>Have a maximum requirement of 24-months funding and maximum support of $15,000 over the grant period;</w:t>
      </w:r>
    </w:p>
    <w:p w14:paraId="0C0B6B26" w14:textId="77777777" w:rsidR="006C0735" w:rsidRPr="006E3FA6" w:rsidRDefault="006C0735" w:rsidP="002F2C43">
      <w:pPr>
        <w:pStyle w:val="ListParagraph"/>
        <w:numPr>
          <w:ilvl w:val="0"/>
          <w:numId w:val="28"/>
        </w:numPr>
        <w:spacing w:after="0" w:line="240" w:lineRule="auto"/>
        <w:ind w:left="709" w:hanging="283"/>
      </w:pPr>
      <w:r w:rsidRPr="006E3FA6">
        <w:t>Clarity, focus and appropriateness of the research objectives, research plan, and the theoretical and methodological approach;</w:t>
      </w:r>
    </w:p>
    <w:p w14:paraId="2D1A567D" w14:textId="77777777" w:rsidR="006C0735" w:rsidRPr="006E3FA6" w:rsidRDefault="006C0735" w:rsidP="002F2C43">
      <w:pPr>
        <w:pStyle w:val="ListParagraph"/>
        <w:numPr>
          <w:ilvl w:val="0"/>
          <w:numId w:val="28"/>
        </w:numPr>
        <w:spacing w:after="0" w:line="240" w:lineRule="auto"/>
        <w:ind w:left="709" w:hanging="283"/>
      </w:pPr>
      <w:r w:rsidRPr="006E3FA6">
        <w:t>Extent of scholarly content and originality;</w:t>
      </w:r>
    </w:p>
    <w:p w14:paraId="6674D066" w14:textId="7376909B" w:rsidR="006C0735" w:rsidRPr="006E3FA6" w:rsidRDefault="006C0735" w:rsidP="002F2C43">
      <w:pPr>
        <w:pStyle w:val="ListParagraph"/>
        <w:numPr>
          <w:ilvl w:val="0"/>
          <w:numId w:val="28"/>
        </w:numPr>
        <w:spacing w:after="0" w:line="240" w:lineRule="auto"/>
        <w:ind w:left="709" w:hanging="283"/>
      </w:pPr>
      <w:r w:rsidRPr="006E3FA6">
        <w:t>Overall contribution of the research to the candidate</w:t>
      </w:r>
      <w:r w:rsidR="00EB725D">
        <w:t>’</w:t>
      </w:r>
      <w:r w:rsidRPr="006E3FA6">
        <w:t>s long range research plan; and</w:t>
      </w:r>
    </w:p>
    <w:p w14:paraId="2A6BD4D6" w14:textId="01F9D6CF" w:rsidR="006C0735" w:rsidRPr="006E3FA6" w:rsidRDefault="006C0735" w:rsidP="002F2C43">
      <w:pPr>
        <w:pStyle w:val="ListParagraph"/>
        <w:numPr>
          <w:ilvl w:val="0"/>
          <w:numId w:val="28"/>
        </w:numPr>
        <w:spacing w:after="0" w:line="240" w:lineRule="auto"/>
        <w:ind w:left="709" w:hanging="283"/>
      </w:pPr>
      <w:r w:rsidRPr="006E3FA6">
        <w:t xml:space="preserve">Applicant’s scholarly contributions relative to the stage of career (e.g., publications, reviews, abstracts, </w:t>
      </w:r>
      <w:r w:rsidR="00B54EC9" w:rsidRPr="006E3FA6">
        <w:t>c</w:t>
      </w:r>
      <w:r w:rsidRPr="006E3FA6">
        <w:t xml:space="preserve">onference presentations over the last </w:t>
      </w:r>
      <w:r w:rsidR="008D5488" w:rsidRPr="006E3FA6">
        <w:t xml:space="preserve">six </w:t>
      </w:r>
      <w:r w:rsidRPr="006E3FA6">
        <w:t>years).</w:t>
      </w:r>
      <w:r w:rsidR="008D5488" w:rsidRPr="006E3FA6">
        <w:t xml:space="preserve"> </w:t>
      </w:r>
      <w:r w:rsidR="00642397" w:rsidRPr="006E3FA6">
        <w:t>S</w:t>
      </w:r>
      <w:r w:rsidR="00642397" w:rsidRPr="006E3FA6">
        <w:rPr>
          <w:bCs/>
        </w:rPr>
        <w:t xml:space="preserve">ee </w:t>
      </w:r>
      <w:hyperlink r:id="rId40" w:history="1">
        <w:r w:rsidR="00642397" w:rsidRPr="004F104E">
          <w:rPr>
            <w:rStyle w:val="Hyperlink"/>
            <w:bCs/>
            <w:color w:val="0070C0"/>
          </w:rPr>
          <w:t>SSHRC CV</w:t>
        </w:r>
      </w:hyperlink>
      <w:r w:rsidR="00642397" w:rsidRPr="006E3FA6">
        <w:rPr>
          <w:bCs/>
        </w:rPr>
        <w:t xml:space="preserve"> and </w:t>
      </w:r>
      <w:hyperlink r:id="rId41" w:anchor="contributions" w:history="1">
        <w:r w:rsidR="00642397" w:rsidRPr="004F104E">
          <w:rPr>
            <w:rStyle w:val="Hyperlink"/>
            <w:bCs/>
            <w:color w:val="0070C0"/>
          </w:rPr>
          <w:t>SSHRC Relevant Research Contributions</w:t>
        </w:r>
      </w:hyperlink>
    </w:p>
    <w:p w14:paraId="6579B635" w14:textId="77777777" w:rsidR="001205E6" w:rsidRPr="006E3FA6" w:rsidRDefault="001205E6" w:rsidP="001205E6"/>
    <w:p w14:paraId="3BEB7425" w14:textId="77777777" w:rsidR="00E727F8" w:rsidRPr="006E3FA6" w:rsidRDefault="00E727F8" w:rsidP="006D4B4C">
      <w:pPr>
        <w:pStyle w:val="Heading1"/>
        <w:rPr>
          <w:rFonts w:asciiTheme="minorHAnsi" w:hAnsiTheme="minorHAnsi"/>
          <w:sz w:val="22"/>
          <w:szCs w:val="22"/>
        </w:rPr>
      </w:pPr>
      <w:r w:rsidRPr="006E3FA6">
        <w:rPr>
          <w:rFonts w:asciiTheme="minorHAnsi" w:hAnsiTheme="minorHAnsi"/>
          <w:sz w:val="22"/>
          <w:szCs w:val="22"/>
        </w:rPr>
        <w:lastRenderedPageBreak/>
        <w:t>Adjudication Process</w:t>
      </w:r>
    </w:p>
    <w:p w14:paraId="52D38DED" w14:textId="77777777" w:rsidR="00E727F8" w:rsidRPr="006E3FA6" w:rsidRDefault="00E727F8" w:rsidP="006D4B4C">
      <w:pPr>
        <w:spacing w:after="0" w:line="240" w:lineRule="auto"/>
        <w:rPr>
          <w:color w:val="694E56" w:themeColor="accent6" w:themeShade="BF"/>
        </w:rPr>
      </w:pPr>
    </w:p>
    <w:p w14:paraId="18F898D0" w14:textId="5F18BAF3" w:rsidR="00B54EC9" w:rsidRPr="006E3FA6" w:rsidRDefault="00B54EC9" w:rsidP="00B54EC9">
      <w:pPr>
        <w:spacing w:after="0" w:line="240" w:lineRule="auto"/>
        <w:ind w:left="142"/>
      </w:pPr>
      <w:r w:rsidRPr="006E3FA6">
        <w:t xml:space="preserve">All ARB applications </w:t>
      </w:r>
      <w:r w:rsidR="00CE3ACD" w:rsidRPr="006E3FA6">
        <w:t>are adjudicated by the Faculty Subcommittee</w:t>
      </w:r>
      <w:r w:rsidRPr="006E3FA6">
        <w:t xml:space="preserve"> consisting of the Faculty </w:t>
      </w:r>
      <w:r w:rsidRPr="009804BA">
        <w:t>Dean</w:t>
      </w:r>
      <w:r w:rsidR="00AF0C6A" w:rsidRPr="009804BA">
        <w:t xml:space="preserve"> (or their </w:t>
      </w:r>
      <w:r w:rsidR="00AF0C6A" w:rsidRPr="006E5682">
        <w:t>delegate)</w:t>
      </w:r>
      <w:r w:rsidR="00AF0C6A">
        <w:t xml:space="preserve"> </w:t>
      </w:r>
      <w:r w:rsidRPr="006E3FA6">
        <w:t>and the Faculty Representative</w:t>
      </w:r>
      <w:r w:rsidR="00D2697C" w:rsidRPr="006E3FA6">
        <w:t xml:space="preserve"> (and any </w:t>
      </w:r>
      <w:r w:rsidR="004E2DCA" w:rsidRPr="006E3FA6">
        <w:t xml:space="preserve">additional </w:t>
      </w:r>
      <w:r w:rsidR="00D2697C" w:rsidRPr="006E3FA6">
        <w:t xml:space="preserve">members as determined by the </w:t>
      </w:r>
      <w:proofErr w:type="gramStart"/>
      <w:r w:rsidR="004E2DCA" w:rsidRPr="006E3FA6">
        <w:t>Faculty</w:t>
      </w:r>
      <w:proofErr w:type="gramEnd"/>
      <w:r w:rsidR="004E2DCA" w:rsidRPr="006E3FA6">
        <w:t>)</w:t>
      </w:r>
      <w:r w:rsidRPr="006E3FA6">
        <w:t xml:space="preserve">. When the applicant is a member of the </w:t>
      </w:r>
      <w:r w:rsidR="004E2DCA" w:rsidRPr="006E3FA6">
        <w:t>Subcommittee,</w:t>
      </w:r>
      <w:r w:rsidRPr="006E3FA6">
        <w:t xml:space="preserve"> the remaining member</w:t>
      </w:r>
      <w:r w:rsidR="004E2DCA" w:rsidRPr="006E3FA6">
        <w:t>(</w:t>
      </w:r>
      <w:r w:rsidRPr="006E3FA6">
        <w:t>s</w:t>
      </w:r>
      <w:r w:rsidR="004E2DCA" w:rsidRPr="006E3FA6">
        <w:t>)</w:t>
      </w:r>
      <w:r w:rsidRPr="006E3FA6">
        <w:t xml:space="preserve"> will r</w:t>
      </w:r>
      <w:r w:rsidR="004E2DCA" w:rsidRPr="006E3FA6">
        <w:t>eview</w:t>
      </w:r>
      <w:r w:rsidRPr="006E3FA6">
        <w:t xml:space="preserve"> the application.  </w:t>
      </w:r>
      <w:r w:rsidR="00B732AD" w:rsidRPr="006E3FA6">
        <w:t xml:space="preserve">The </w:t>
      </w:r>
      <w:r w:rsidR="00074237" w:rsidRPr="006E3FA6">
        <w:t xml:space="preserve">individual </w:t>
      </w:r>
      <w:r w:rsidR="00B732AD" w:rsidRPr="006E3FA6">
        <w:t xml:space="preserve">will be removed from review of all applications in the category for which they applied.  The </w:t>
      </w:r>
      <w:proofErr w:type="gramStart"/>
      <w:r w:rsidR="00B732AD" w:rsidRPr="006E3FA6">
        <w:t>Faculty</w:t>
      </w:r>
      <w:proofErr w:type="gramEnd"/>
      <w:r w:rsidR="00B732AD" w:rsidRPr="006E3FA6">
        <w:t xml:space="preserve"> may choose to enlist an additional reviewer to assist or follow their own Faculty conflict of interest protocol.  </w:t>
      </w:r>
    </w:p>
    <w:p w14:paraId="140B23A1" w14:textId="5A40D58F" w:rsidR="00B54EC9" w:rsidRPr="006E3FA6" w:rsidRDefault="00B54EC9" w:rsidP="00B54EC9">
      <w:pPr>
        <w:spacing w:after="0" w:line="240" w:lineRule="auto"/>
        <w:ind w:left="142"/>
      </w:pPr>
      <w:r w:rsidRPr="006E3FA6">
        <w:t xml:space="preserve">The SSHRC Exchange </w:t>
      </w:r>
      <w:r w:rsidR="009E2877" w:rsidRPr="006E3FA6">
        <w:t xml:space="preserve">- </w:t>
      </w:r>
      <w:r w:rsidRPr="006E3FA6">
        <w:t xml:space="preserve">Conference Attendance and Representational Activities Grant applications are adjudicated twice annually (Fall and Spring). The other three (SSHRC Explore </w:t>
      </w:r>
      <w:r w:rsidR="0070061A" w:rsidRPr="006E3FA6">
        <w:t>- S</w:t>
      </w:r>
      <w:r w:rsidRPr="006E3FA6">
        <w:t>tandard Research &amp; Research Creation Gran</w:t>
      </w:r>
      <w:r w:rsidR="0070061A" w:rsidRPr="006E3FA6">
        <w:t>ts</w:t>
      </w:r>
      <w:r w:rsidRPr="006E3FA6">
        <w:t xml:space="preserve">, SSHRC Exchange </w:t>
      </w:r>
      <w:r w:rsidR="0070061A" w:rsidRPr="006E3FA6">
        <w:t>- S</w:t>
      </w:r>
      <w:r w:rsidRPr="006E3FA6">
        <w:t>cholarly Publications Gran</w:t>
      </w:r>
      <w:r w:rsidR="0070061A" w:rsidRPr="006E3FA6">
        <w:t>ts</w:t>
      </w:r>
      <w:r w:rsidRPr="006E3FA6">
        <w:t xml:space="preserve"> and SSHRC Explore </w:t>
      </w:r>
      <w:r w:rsidR="00C16FC2" w:rsidRPr="006E3FA6">
        <w:t>- M</w:t>
      </w:r>
      <w:r w:rsidRPr="006E3FA6">
        <w:t>ajor Collaborative Project Seed Gran</w:t>
      </w:r>
      <w:r w:rsidR="0070061A" w:rsidRPr="006E3FA6">
        <w:t>t</w:t>
      </w:r>
      <w:r w:rsidRPr="006E3FA6">
        <w:t xml:space="preserve"> are adjudicated annually (Fall).</w:t>
      </w:r>
    </w:p>
    <w:p w14:paraId="0A629695" w14:textId="77777777" w:rsidR="00B54EC9" w:rsidRPr="006E3FA6" w:rsidRDefault="00B54EC9" w:rsidP="00B54EC9">
      <w:pPr>
        <w:spacing w:after="0" w:line="240" w:lineRule="auto"/>
        <w:ind w:left="142"/>
      </w:pPr>
    </w:p>
    <w:p w14:paraId="0337835C" w14:textId="77777777" w:rsidR="00B54EC9" w:rsidRPr="006E3FA6" w:rsidRDefault="00B54EC9" w:rsidP="00B54EC9">
      <w:pPr>
        <w:spacing w:after="0" w:line="240" w:lineRule="auto"/>
        <w:ind w:left="142"/>
      </w:pPr>
      <w:r w:rsidRPr="006E3FA6">
        <w:t>After selections are made by the Faculty Subcommittee, approval of the full board is secured via email.</w:t>
      </w:r>
    </w:p>
    <w:p w14:paraId="03B720DD" w14:textId="77777777" w:rsidR="00CE3ACD" w:rsidRPr="006E3FA6" w:rsidRDefault="00CE3ACD" w:rsidP="00FA4BE9">
      <w:pPr>
        <w:spacing w:after="0" w:line="240" w:lineRule="auto"/>
        <w:ind w:left="142"/>
      </w:pPr>
    </w:p>
    <w:p w14:paraId="237479DC" w14:textId="77777777" w:rsidR="00847870" w:rsidRPr="006E3FA6" w:rsidRDefault="00847870" w:rsidP="006D4B4C">
      <w:pPr>
        <w:pStyle w:val="Heading2"/>
        <w:rPr>
          <w:rFonts w:asciiTheme="minorHAnsi" w:hAnsiTheme="minorHAnsi"/>
          <w:color w:val="7A0000"/>
          <w:sz w:val="22"/>
          <w:szCs w:val="22"/>
          <w:u w:val="single"/>
        </w:rPr>
      </w:pPr>
      <w:r w:rsidRPr="006E3FA6">
        <w:rPr>
          <w:rFonts w:asciiTheme="minorHAnsi" w:hAnsiTheme="minorHAnsi"/>
          <w:color w:val="7A0000"/>
          <w:sz w:val="22"/>
          <w:szCs w:val="22"/>
          <w:u w:val="single"/>
        </w:rPr>
        <w:t>Ranking Scale</w:t>
      </w:r>
    </w:p>
    <w:p w14:paraId="4673A08A" w14:textId="77777777" w:rsidR="006D4B4C" w:rsidRPr="006E3FA6" w:rsidRDefault="00BF7586" w:rsidP="002F2C43">
      <w:pPr>
        <w:spacing w:after="0" w:line="240" w:lineRule="auto"/>
        <w:ind w:left="142"/>
      </w:pPr>
      <w:r w:rsidRPr="006E3FA6">
        <w:t>Faculties may employ their own ranking methodology or</w:t>
      </w:r>
      <w:r w:rsidR="005F3341" w:rsidRPr="006E3FA6">
        <w:t xml:space="preserve"> us</w:t>
      </w:r>
      <w:r w:rsidRPr="006E3FA6">
        <w:t>e</w:t>
      </w:r>
      <w:r w:rsidR="005F3341" w:rsidRPr="006E3FA6">
        <w:t xml:space="preserve"> the same scoring system</w:t>
      </w:r>
      <w:r w:rsidR="004E2DCA" w:rsidRPr="006E3FA6">
        <w:t xml:space="preserve"> previously</w:t>
      </w:r>
      <w:r w:rsidRPr="006E3FA6">
        <w:t xml:space="preserve"> </w:t>
      </w:r>
      <w:r w:rsidR="004E2DCA" w:rsidRPr="006E3FA6">
        <w:t>utili</w:t>
      </w:r>
      <w:r w:rsidR="00BE1D1E" w:rsidRPr="006E3FA6">
        <w:t>z</w:t>
      </w:r>
      <w:r w:rsidRPr="006E3FA6">
        <w:t>ed by the ARB Board where a</w:t>
      </w:r>
      <w:r w:rsidR="00847870" w:rsidRPr="006E3FA6">
        <w:t xml:space="preserve">pplications </w:t>
      </w:r>
      <w:r w:rsidR="006D4B4C" w:rsidRPr="006E3FA6">
        <w:t>are</w:t>
      </w:r>
      <w:r w:rsidR="00847870" w:rsidRPr="006E3FA6">
        <w:t xml:space="preserve"> ranked using the following scale:</w:t>
      </w:r>
      <w:r w:rsidR="00847870" w:rsidRPr="006E3FA6">
        <w:tab/>
      </w:r>
    </w:p>
    <w:p w14:paraId="5CE29E7E" w14:textId="77777777" w:rsidR="00847870" w:rsidRPr="006E3FA6" w:rsidRDefault="00847870" w:rsidP="002F2C43">
      <w:pPr>
        <w:spacing w:after="0" w:line="240" w:lineRule="auto"/>
        <w:ind w:left="142"/>
      </w:pPr>
      <w:r w:rsidRPr="006E3FA6">
        <w:tab/>
      </w:r>
    </w:p>
    <w:p w14:paraId="7CE72D86" w14:textId="0925FA44" w:rsidR="00847870" w:rsidRPr="006E3FA6" w:rsidRDefault="00847870" w:rsidP="002F2C43">
      <w:pPr>
        <w:spacing w:after="0" w:line="240" w:lineRule="auto"/>
        <w:ind w:left="720"/>
      </w:pPr>
      <w:r w:rsidRPr="006E3FA6">
        <w:rPr>
          <w:b/>
          <w:color w:val="6C1D45"/>
        </w:rPr>
        <w:t>1</w:t>
      </w:r>
      <w:r w:rsidR="009326BC" w:rsidRPr="006E3FA6">
        <w:rPr>
          <w:b/>
          <w:color w:val="6C1D45"/>
        </w:rPr>
        <w:t xml:space="preserve"> </w:t>
      </w:r>
      <w:r w:rsidRPr="006E3FA6">
        <w:t>–</w:t>
      </w:r>
      <w:r w:rsidR="009326BC" w:rsidRPr="006E3FA6">
        <w:t xml:space="preserve"> </w:t>
      </w:r>
      <w:r w:rsidRPr="006E3FA6">
        <w:t>Best</w:t>
      </w:r>
    </w:p>
    <w:p w14:paraId="4BCA6125" w14:textId="15976049" w:rsidR="00847870" w:rsidRPr="006E3FA6" w:rsidRDefault="00847870" w:rsidP="002F2C43">
      <w:pPr>
        <w:spacing w:after="0" w:line="240" w:lineRule="auto"/>
        <w:ind w:left="720"/>
      </w:pPr>
      <w:r w:rsidRPr="006E3FA6">
        <w:rPr>
          <w:b/>
          <w:color w:val="6C1D45"/>
        </w:rPr>
        <w:t>2</w:t>
      </w:r>
      <w:r w:rsidRPr="006E3FA6">
        <w:t xml:space="preserve"> </w:t>
      </w:r>
      <w:r w:rsidR="006D4B4C" w:rsidRPr="006E3FA6">
        <w:t>–</w:t>
      </w:r>
      <w:r w:rsidR="009326BC" w:rsidRPr="006E3FA6">
        <w:t xml:space="preserve"> </w:t>
      </w:r>
      <w:r w:rsidRPr="006E3FA6">
        <w:t>Middle</w:t>
      </w:r>
    </w:p>
    <w:p w14:paraId="2DFD9ED6" w14:textId="49F7E7D8" w:rsidR="00847870" w:rsidRPr="006E3FA6" w:rsidRDefault="00847870" w:rsidP="002F2C43">
      <w:pPr>
        <w:spacing w:after="0" w:line="240" w:lineRule="auto"/>
        <w:ind w:left="720"/>
      </w:pPr>
      <w:r w:rsidRPr="006E3FA6">
        <w:rPr>
          <w:b/>
          <w:color w:val="6C1D45"/>
        </w:rPr>
        <w:t>3</w:t>
      </w:r>
      <w:r w:rsidRPr="006E3FA6">
        <w:t xml:space="preserve"> </w:t>
      </w:r>
      <w:r w:rsidR="006D4B4C" w:rsidRPr="006E3FA6">
        <w:t>–</w:t>
      </w:r>
      <w:r w:rsidR="009326BC" w:rsidRPr="006E3FA6">
        <w:t xml:space="preserve"> </w:t>
      </w:r>
      <w:r w:rsidRPr="006E3FA6">
        <w:t>Lowest</w:t>
      </w:r>
    </w:p>
    <w:p w14:paraId="75C33BC6" w14:textId="77777777" w:rsidR="009B10ED" w:rsidRPr="006E3FA6" w:rsidRDefault="009B10ED" w:rsidP="006D4B4C">
      <w:pPr>
        <w:pStyle w:val="Heading2"/>
        <w:rPr>
          <w:rFonts w:asciiTheme="minorHAnsi" w:hAnsiTheme="minorHAnsi"/>
          <w:b w:val="0"/>
          <w:sz w:val="22"/>
          <w:szCs w:val="22"/>
        </w:rPr>
      </w:pPr>
    </w:p>
    <w:p w14:paraId="5DD9186F" w14:textId="77777777" w:rsidR="00D16B65" w:rsidRPr="006E3FA6" w:rsidRDefault="00D16B65" w:rsidP="00BE1D1E">
      <w:pPr>
        <w:ind w:firstLine="142"/>
      </w:pPr>
      <w:r w:rsidRPr="006E3FA6">
        <w:t>ROADS can assist Faculties with possible funding scenarios if requested</w:t>
      </w:r>
      <w:r w:rsidR="00BE1D1E" w:rsidRPr="006E3FA6">
        <w:t>.</w:t>
      </w:r>
    </w:p>
    <w:p w14:paraId="6C8B3DC0" w14:textId="77777777" w:rsidR="00E13AE7" w:rsidRPr="006E3FA6" w:rsidRDefault="00E13AE7" w:rsidP="00FA4BE9">
      <w:pPr>
        <w:pStyle w:val="Heading2"/>
        <w:rPr>
          <w:rFonts w:asciiTheme="minorHAnsi" w:hAnsiTheme="minorHAnsi"/>
          <w:i/>
          <w:sz w:val="22"/>
          <w:szCs w:val="22"/>
        </w:rPr>
      </w:pPr>
    </w:p>
    <w:p w14:paraId="34CCF061" w14:textId="77777777" w:rsidR="00847870" w:rsidRPr="006E3FA6" w:rsidRDefault="00847870" w:rsidP="00FA4BE9">
      <w:pPr>
        <w:pStyle w:val="Heading2"/>
        <w:rPr>
          <w:rFonts w:asciiTheme="minorHAnsi" w:hAnsiTheme="minorHAnsi"/>
          <w:color w:val="7A0000"/>
          <w:sz w:val="22"/>
          <w:szCs w:val="22"/>
          <w:u w:val="single"/>
        </w:rPr>
      </w:pPr>
      <w:r w:rsidRPr="006E3FA6">
        <w:rPr>
          <w:rFonts w:asciiTheme="minorHAnsi" w:hAnsiTheme="minorHAnsi"/>
          <w:color w:val="7A0000"/>
          <w:sz w:val="22"/>
          <w:szCs w:val="22"/>
          <w:u w:val="single"/>
        </w:rPr>
        <w:t>Feedback to Applicants</w:t>
      </w:r>
    </w:p>
    <w:p w14:paraId="352E7602" w14:textId="52C8E88C" w:rsidR="00847870" w:rsidRPr="006E3FA6" w:rsidRDefault="00847870" w:rsidP="00FA4BE9">
      <w:pPr>
        <w:spacing w:after="0" w:line="240" w:lineRule="auto"/>
        <w:ind w:left="142"/>
      </w:pPr>
      <w:r w:rsidRPr="006E3FA6">
        <w:t xml:space="preserve">Feedback will be provided to applicants who request it. </w:t>
      </w:r>
      <w:r w:rsidRPr="009804BA">
        <w:t xml:space="preserve">Deans </w:t>
      </w:r>
      <w:r w:rsidR="00AF0C6A" w:rsidRPr="009804BA">
        <w:t xml:space="preserve">(or their delegate) </w:t>
      </w:r>
      <w:r w:rsidRPr="009804BA">
        <w:t>will</w:t>
      </w:r>
      <w:r w:rsidRPr="006E3FA6">
        <w:t xml:space="preserve"> provide feedback to their own faculty</w:t>
      </w:r>
      <w:r w:rsidR="00750D58" w:rsidRPr="006E3FA6">
        <w:t xml:space="preserve"> members</w:t>
      </w:r>
      <w:r w:rsidRPr="006E3FA6">
        <w:t xml:space="preserve">. For faculty </w:t>
      </w:r>
      <w:r w:rsidR="00750D58" w:rsidRPr="006E3FA6">
        <w:t xml:space="preserve">members </w:t>
      </w:r>
      <w:r w:rsidRPr="006E3FA6">
        <w:t xml:space="preserve">outside Social Sciences, Humanities, Business and Science, the </w:t>
      </w:r>
      <w:r w:rsidR="004E2DCA" w:rsidRPr="006E3FA6">
        <w:t>Subcommittee</w:t>
      </w:r>
      <w:r w:rsidRPr="006E3FA6">
        <w:t xml:space="preserve"> members will provide the information to </w:t>
      </w:r>
      <w:r w:rsidR="00BF7586" w:rsidRPr="006E3FA6">
        <w:t xml:space="preserve">ROADS </w:t>
      </w:r>
      <w:r w:rsidRPr="006E3FA6">
        <w:t xml:space="preserve">who will convey it to the applicant. </w:t>
      </w:r>
    </w:p>
    <w:p w14:paraId="5271EA1D" w14:textId="77777777" w:rsidR="00E13AE7" w:rsidRPr="006E3FA6" w:rsidRDefault="00E13AE7" w:rsidP="006D4B4C">
      <w:pPr>
        <w:pStyle w:val="Heading2"/>
        <w:rPr>
          <w:rFonts w:asciiTheme="minorHAnsi" w:hAnsiTheme="minorHAnsi"/>
          <w:sz w:val="22"/>
          <w:szCs w:val="22"/>
        </w:rPr>
      </w:pPr>
    </w:p>
    <w:p w14:paraId="772F4DFF" w14:textId="77777777" w:rsidR="00847870" w:rsidRPr="006E3FA6" w:rsidRDefault="00847870" w:rsidP="002F2C43">
      <w:pPr>
        <w:pStyle w:val="Heading2"/>
        <w:rPr>
          <w:rFonts w:asciiTheme="minorHAnsi" w:hAnsiTheme="minorHAnsi"/>
          <w:color w:val="7A0000"/>
          <w:sz w:val="22"/>
          <w:szCs w:val="22"/>
          <w:u w:val="single"/>
        </w:rPr>
      </w:pPr>
      <w:r w:rsidRPr="006E3FA6">
        <w:rPr>
          <w:rFonts w:asciiTheme="minorHAnsi" w:hAnsiTheme="minorHAnsi"/>
          <w:color w:val="7A0000"/>
          <w:sz w:val="22"/>
          <w:szCs w:val="22"/>
          <w:u w:val="single"/>
        </w:rPr>
        <w:t xml:space="preserve">Allocation of Funds </w:t>
      </w:r>
    </w:p>
    <w:p w14:paraId="6CD02C51" w14:textId="77777777" w:rsidR="00847870" w:rsidRPr="006E3FA6" w:rsidRDefault="00847870" w:rsidP="004E2DCA">
      <w:pPr>
        <w:spacing w:after="0" w:line="240" w:lineRule="auto"/>
        <w:ind w:left="142"/>
      </w:pPr>
      <w:r w:rsidRPr="006E3FA6">
        <w:t>ARB funds are distributed as follows:</w:t>
      </w:r>
    </w:p>
    <w:p w14:paraId="094102DC" w14:textId="77777777" w:rsidR="006D4B4C" w:rsidRPr="006E3FA6" w:rsidRDefault="006D4B4C" w:rsidP="002F2C43">
      <w:pPr>
        <w:spacing w:after="0" w:line="240" w:lineRule="auto"/>
        <w:ind w:firstLine="142"/>
      </w:pPr>
    </w:p>
    <w:p w14:paraId="1E1766E6" w14:textId="2871137E" w:rsidR="006D4B4C" w:rsidRPr="006E3FA6" w:rsidRDefault="00AB1680" w:rsidP="002F2C43">
      <w:pPr>
        <w:pStyle w:val="ListParagraph"/>
        <w:spacing w:after="0" w:line="240" w:lineRule="auto"/>
        <w:ind w:left="1701" w:hanging="992"/>
      </w:pPr>
      <w:r w:rsidRPr="006E3FA6">
        <w:rPr>
          <w:b/>
          <w:color w:val="6C1D45"/>
        </w:rPr>
        <w:t>67%</w:t>
      </w:r>
      <w:r w:rsidRPr="006E3FA6">
        <w:tab/>
      </w:r>
      <w:r w:rsidR="00CC6C69" w:rsidRPr="006E3FA6">
        <w:t>S</w:t>
      </w:r>
      <w:r w:rsidRPr="006E3FA6">
        <w:t>S</w:t>
      </w:r>
      <w:r w:rsidR="00CC6C69" w:rsidRPr="006E3FA6">
        <w:t xml:space="preserve">HRC Explore </w:t>
      </w:r>
      <w:r w:rsidR="0070061A" w:rsidRPr="006E3FA6">
        <w:t>- S</w:t>
      </w:r>
      <w:r w:rsidR="00CC6C69" w:rsidRPr="006E3FA6">
        <w:t>tandard Research</w:t>
      </w:r>
      <w:r w:rsidR="005D3978" w:rsidRPr="006E3FA6">
        <w:t xml:space="preserve"> and Research </w:t>
      </w:r>
      <w:r w:rsidR="00CC6C69" w:rsidRPr="006E3FA6">
        <w:t>Creati</w:t>
      </w:r>
      <w:r w:rsidR="005D3978" w:rsidRPr="006E3FA6">
        <w:t>on</w:t>
      </w:r>
      <w:r w:rsidR="00CC6C69" w:rsidRPr="006E3FA6">
        <w:t xml:space="preserve"> Gran</w:t>
      </w:r>
      <w:r w:rsidR="0070061A" w:rsidRPr="006E3FA6">
        <w:t>ts</w:t>
      </w:r>
    </w:p>
    <w:p w14:paraId="02D34925" w14:textId="1D63ACE3" w:rsidR="006D4B4C" w:rsidRPr="006E3FA6" w:rsidRDefault="00CC6C69" w:rsidP="002F2C43">
      <w:pPr>
        <w:pStyle w:val="ListParagraph"/>
        <w:spacing w:after="0" w:line="240" w:lineRule="auto"/>
        <w:ind w:left="1985" w:hanging="284"/>
      </w:pPr>
      <w:r w:rsidRPr="006E3FA6">
        <w:t xml:space="preserve">SSHRC Exchange </w:t>
      </w:r>
      <w:r w:rsidR="0070061A" w:rsidRPr="006E3FA6">
        <w:t>- S</w:t>
      </w:r>
      <w:r w:rsidRPr="006E3FA6">
        <w:t>cholarly Publications Gran</w:t>
      </w:r>
      <w:r w:rsidR="0070061A" w:rsidRPr="006E3FA6">
        <w:t>ts</w:t>
      </w:r>
    </w:p>
    <w:p w14:paraId="7EA9BDC5" w14:textId="36FCE942" w:rsidR="00847870" w:rsidRPr="006E3FA6" w:rsidRDefault="00621083" w:rsidP="002F2C43">
      <w:pPr>
        <w:pStyle w:val="ListParagraph"/>
        <w:spacing w:after="0" w:line="240" w:lineRule="auto"/>
        <w:ind w:left="1985" w:hanging="284"/>
      </w:pPr>
      <w:r w:rsidRPr="006E3FA6">
        <w:t xml:space="preserve">SSHRC Explore </w:t>
      </w:r>
      <w:r w:rsidR="00C16FC2" w:rsidRPr="006E3FA6">
        <w:t>- M</w:t>
      </w:r>
      <w:r w:rsidRPr="006E3FA6">
        <w:t>ajor Collaborative Project Seed Gran</w:t>
      </w:r>
      <w:r w:rsidR="0070061A" w:rsidRPr="006E3FA6">
        <w:t>ts</w:t>
      </w:r>
    </w:p>
    <w:p w14:paraId="50E22AA6" w14:textId="77777777" w:rsidR="006D4B4C" w:rsidRPr="006E3FA6" w:rsidRDefault="006D4B4C" w:rsidP="002F2C43">
      <w:pPr>
        <w:spacing w:after="0" w:line="240" w:lineRule="auto"/>
      </w:pPr>
    </w:p>
    <w:p w14:paraId="0F8B0B6F" w14:textId="4100941A" w:rsidR="006D4B4C" w:rsidRPr="006E3FA6" w:rsidRDefault="00AB1680" w:rsidP="002F2C43">
      <w:pPr>
        <w:pStyle w:val="ListParagraph"/>
        <w:spacing w:after="0" w:line="240" w:lineRule="auto"/>
        <w:ind w:left="1701" w:hanging="992"/>
      </w:pPr>
      <w:r w:rsidRPr="006E3FA6">
        <w:rPr>
          <w:b/>
          <w:color w:val="6C1D45"/>
        </w:rPr>
        <w:t>33%</w:t>
      </w:r>
      <w:r w:rsidRPr="006E3FA6">
        <w:tab/>
      </w:r>
      <w:r w:rsidR="006D4B4C" w:rsidRPr="006E3FA6">
        <w:t xml:space="preserve">SSHRC Exchange </w:t>
      </w:r>
      <w:r w:rsidR="0070061A" w:rsidRPr="006E3FA6">
        <w:t>- C</w:t>
      </w:r>
      <w:r w:rsidR="006D4B4C" w:rsidRPr="006E3FA6">
        <w:t>onference Attendance and Representational Activities Grants</w:t>
      </w:r>
    </w:p>
    <w:p w14:paraId="64424EBB" w14:textId="77777777" w:rsidR="00847870" w:rsidRPr="006E3FA6" w:rsidRDefault="00B54EC9" w:rsidP="00BF7586">
      <w:pPr>
        <w:spacing w:after="0" w:line="240" w:lineRule="auto"/>
        <w:ind w:left="142" w:firstLine="1559"/>
      </w:pPr>
      <w:r w:rsidRPr="006E3FA6">
        <w:t>The</w:t>
      </w:r>
      <w:r w:rsidR="00BF7586" w:rsidRPr="006E3FA6">
        <w:t>se</w:t>
      </w:r>
      <w:r w:rsidRPr="006E3FA6">
        <w:t xml:space="preserve"> </w:t>
      </w:r>
      <w:r w:rsidR="00847870" w:rsidRPr="006E3FA6">
        <w:t xml:space="preserve">funds are </w:t>
      </w:r>
      <w:r w:rsidRPr="006E3FA6">
        <w:t xml:space="preserve">then further </w:t>
      </w:r>
      <w:r w:rsidR="00847870" w:rsidRPr="006E3FA6">
        <w:t>distributed as follows:</w:t>
      </w:r>
    </w:p>
    <w:p w14:paraId="5ED3389E" w14:textId="77777777" w:rsidR="00AB1680" w:rsidRPr="006E3FA6" w:rsidRDefault="00AB1680" w:rsidP="00BF7586">
      <w:pPr>
        <w:pStyle w:val="ListParagraph"/>
        <w:spacing w:after="0" w:line="240" w:lineRule="auto"/>
        <w:ind w:left="1701" w:firstLine="1559"/>
      </w:pPr>
      <w:r w:rsidRPr="006E3FA6">
        <w:rPr>
          <w:b/>
          <w:color w:val="6C1D45"/>
        </w:rPr>
        <w:t>65%</w:t>
      </w:r>
      <w:r w:rsidRPr="006E3FA6">
        <w:tab/>
        <w:t>Spring Competition</w:t>
      </w:r>
    </w:p>
    <w:p w14:paraId="682FF9AF" w14:textId="77777777" w:rsidR="00AB1680" w:rsidRPr="006E3FA6" w:rsidRDefault="00AB1680" w:rsidP="00BF7586">
      <w:pPr>
        <w:pStyle w:val="ListParagraph"/>
        <w:spacing w:after="0" w:line="240" w:lineRule="auto"/>
        <w:ind w:left="1701" w:firstLine="1559"/>
      </w:pPr>
      <w:r w:rsidRPr="006E3FA6">
        <w:rPr>
          <w:b/>
          <w:color w:val="6C1D45"/>
        </w:rPr>
        <w:t>35%</w:t>
      </w:r>
      <w:r w:rsidRPr="006E3FA6">
        <w:rPr>
          <w:color w:val="6C1D45"/>
        </w:rPr>
        <w:t xml:space="preserve"> </w:t>
      </w:r>
      <w:r w:rsidRPr="006E3FA6">
        <w:tab/>
        <w:t xml:space="preserve">Fall Competition </w:t>
      </w:r>
    </w:p>
    <w:p w14:paraId="138AAB2F" w14:textId="77777777" w:rsidR="00AB1680" w:rsidRPr="006E3FA6" w:rsidRDefault="00AB1680" w:rsidP="002F2C43">
      <w:pPr>
        <w:spacing w:after="0" w:line="240" w:lineRule="auto"/>
      </w:pPr>
    </w:p>
    <w:p w14:paraId="49D5E02C" w14:textId="63E1C7E3" w:rsidR="00847870" w:rsidRPr="006E3FA6" w:rsidRDefault="00C63741" w:rsidP="002F2C43">
      <w:pPr>
        <w:spacing w:after="0" w:line="240" w:lineRule="auto"/>
        <w:ind w:left="142"/>
      </w:pPr>
      <w:r w:rsidRPr="006E3FA6">
        <w:t xml:space="preserve">Funding for all four grant categories is </w:t>
      </w:r>
      <w:r w:rsidR="00847870" w:rsidRPr="006E3FA6">
        <w:t xml:space="preserve">allocated </w:t>
      </w:r>
      <w:r w:rsidR="00490398" w:rsidRPr="006E3FA6">
        <w:t xml:space="preserve">to </w:t>
      </w:r>
      <w:r w:rsidR="00847870" w:rsidRPr="006E3FA6">
        <w:t>four</w:t>
      </w:r>
      <w:r w:rsidR="00BF7586" w:rsidRPr="006E3FA6">
        <w:t xml:space="preserve"> Faculty</w:t>
      </w:r>
      <w:r w:rsidR="00847870" w:rsidRPr="006E3FA6">
        <w:t xml:space="preserve"> </w:t>
      </w:r>
      <w:r w:rsidR="00BF7586" w:rsidRPr="006E3FA6">
        <w:t>pools</w:t>
      </w:r>
      <w:r w:rsidR="00847870" w:rsidRPr="006E3FA6">
        <w:t>, one for</w:t>
      </w:r>
      <w:r w:rsidR="00B70231" w:rsidRPr="006E3FA6">
        <w:t xml:space="preserve"> each of</w:t>
      </w:r>
      <w:r w:rsidR="00847870" w:rsidRPr="006E3FA6">
        <w:t xml:space="preserve"> the Faculty of Humanities, the Faculty of the Social Sciences, </w:t>
      </w:r>
      <w:r w:rsidR="009456CB" w:rsidRPr="006E3FA6">
        <w:t xml:space="preserve">the Faculty of </w:t>
      </w:r>
      <w:r w:rsidR="00847870" w:rsidRPr="006E3FA6">
        <w:t xml:space="preserve">Business, and Other. The funding allocated to each Faculty is based on the number of researchers who are eligible </w:t>
      </w:r>
      <w:r w:rsidR="00F95CF2" w:rsidRPr="006E3FA6">
        <w:t xml:space="preserve">for SSHRC funding. For the </w:t>
      </w:r>
      <w:r w:rsidR="00080A65" w:rsidRPr="006E3FA6">
        <w:t>current</w:t>
      </w:r>
      <w:r w:rsidR="00F95CF2" w:rsidRPr="006E3FA6">
        <w:t xml:space="preserve"> </w:t>
      </w:r>
      <w:r w:rsidR="00847870" w:rsidRPr="006E3FA6">
        <w:t>competition</w:t>
      </w:r>
      <w:r w:rsidR="004E2DCA" w:rsidRPr="006E3FA6">
        <w:t>,</w:t>
      </w:r>
      <w:r w:rsidR="00847870" w:rsidRPr="006E3FA6">
        <w:t xml:space="preserve"> funds were distributed as follows:</w:t>
      </w:r>
    </w:p>
    <w:p w14:paraId="2D05D75F" w14:textId="77777777" w:rsidR="00AB1680" w:rsidRPr="006E3FA6" w:rsidRDefault="00AB1680" w:rsidP="00AB1680">
      <w:pPr>
        <w:pStyle w:val="ListParagraph"/>
        <w:spacing w:after="0" w:line="240" w:lineRule="auto"/>
        <w:ind w:left="1701" w:hanging="992"/>
      </w:pPr>
    </w:p>
    <w:p w14:paraId="542413C1" w14:textId="68B268E3" w:rsidR="00257093" w:rsidRPr="006E3FA6" w:rsidRDefault="00257093" w:rsidP="00257093">
      <w:pPr>
        <w:spacing w:after="0" w:line="240" w:lineRule="auto"/>
        <w:ind w:left="720"/>
        <w:rPr>
          <w:color w:val="000000"/>
        </w:rPr>
      </w:pPr>
      <w:r w:rsidRPr="006E3FA6">
        <w:rPr>
          <w:color w:val="000000"/>
          <w:lang w:eastAsia="en-CA"/>
        </w:rPr>
        <w:t>2</w:t>
      </w:r>
      <w:r w:rsidR="003B164E" w:rsidRPr="006E3FA6">
        <w:rPr>
          <w:color w:val="000000"/>
          <w:lang w:eastAsia="en-CA"/>
        </w:rPr>
        <w:t>2</w:t>
      </w:r>
      <w:r w:rsidRPr="006E3FA6">
        <w:rPr>
          <w:color w:val="000000"/>
          <w:lang w:eastAsia="en-CA"/>
        </w:rPr>
        <w:t xml:space="preserve">% to Business </w:t>
      </w:r>
    </w:p>
    <w:p w14:paraId="0716AE74" w14:textId="1F6EB452" w:rsidR="00257093" w:rsidRPr="006E3FA6" w:rsidRDefault="00257093" w:rsidP="00257093">
      <w:pPr>
        <w:spacing w:after="0" w:line="240" w:lineRule="auto"/>
        <w:ind w:left="720"/>
        <w:rPr>
          <w:color w:val="000000"/>
        </w:rPr>
      </w:pPr>
      <w:r w:rsidRPr="006E3FA6">
        <w:rPr>
          <w:color w:val="000000"/>
          <w:lang w:eastAsia="en-CA"/>
        </w:rPr>
        <w:t>3</w:t>
      </w:r>
      <w:r w:rsidR="003B164E" w:rsidRPr="006E3FA6">
        <w:rPr>
          <w:color w:val="000000"/>
          <w:lang w:eastAsia="en-CA"/>
        </w:rPr>
        <w:t>2</w:t>
      </w:r>
      <w:r w:rsidRPr="006E3FA6">
        <w:rPr>
          <w:color w:val="000000"/>
          <w:lang w:eastAsia="en-CA"/>
        </w:rPr>
        <w:t xml:space="preserve">% to Humanities </w:t>
      </w:r>
    </w:p>
    <w:p w14:paraId="0C2F5BBB" w14:textId="75086ED3" w:rsidR="00257093" w:rsidRPr="006E3FA6" w:rsidRDefault="00257093" w:rsidP="00257093">
      <w:pPr>
        <w:spacing w:after="0" w:line="240" w:lineRule="auto"/>
        <w:ind w:left="720"/>
        <w:rPr>
          <w:color w:val="000000"/>
        </w:rPr>
      </w:pPr>
      <w:r w:rsidRPr="006E3FA6">
        <w:rPr>
          <w:color w:val="000000"/>
          <w:lang w:eastAsia="en-CA"/>
        </w:rPr>
        <w:t>3</w:t>
      </w:r>
      <w:r w:rsidR="003B164E" w:rsidRPr="006E3FA6">
        <w:rPr>
          <w:color w:val="000000"/>
          <w:lang w:eastAsia="en-CA"/>
        </w:rPr>
        <w:t>7</w:t>
      </w:r>
      <w:r w:rsidRPr="006E3FA6">
        <w:rPr>
          <w:color w:val="000000"/>
          <w:lang w:eastAsia="en-CA"/>
        </w:rPr>
        <w:t>% to Social Sciences</w:t>
      </w:r>
    </w:p>
    <w:p w14:paraId="0FDEC245" w14:textId="5F9087F7" w:rsidR="00257093" w:rsidRPr="006E3FA6" w:rsidRDefault="003B164E" w:rsidP="00257093">
      <w:pPr>
        <w:spacing w:after="0" w:line="240" w:lineRule="auto"/>
        <w:ind w:left="720" w:right="720"/>
        <w:rPr>
          <w:color w:val="1F497D"/>
        </w:rPr>
      </w:pPr>
      <w:r w:rsidRPr="006E3FA6">
        <w:rPr>
          <w:color w:val="000000"/>
          <w:lang w:eastAsia="en-CA"/>
        </w:rPr>
        <w:t>9</w:t>
      </w:r>
      <w:r w:rsidR="00257093" w:rsidRPr="006E3FA6">
        <w:rPr>
          <w:color w:val="000000"/>
          <w:lang w:eastAsia="en-CA"/>
        </w:rPr>
        <w:t xml:space="preserve">% to all other Faculties </w:t>
      </w:r>
    </w:p>
    <w:p w14:paraId="4669C858" w14:textId="77777777" w:rsidR="00B732AD" w:rsidRPr="006E3FA6" w:rsidRDefault="00B732AD" w:rsidP="00B732AD">
      <w:pPr>
        <w:pStyle w:val="Default"/>
        <w:rPr>
          <w:rFonts w:asciiTheme="minorHAnsi" w:hAnsiTheme="minorHAnsi"/>
          <w:sz w:val="22"/>
          <w:szCs w:val="22"/>
        </w:rPr>
      </w:pPr>
    </w:p>
    <w:p w14:paraId="30EEAE4E" w14:textId="76C33B7F" w:rsidR="00B732AD" w:rsidRPr="006E3FA6" w:rsidRDefault="00B732AD" w:rsidP="00B732AD">
      <w:pPr>
        <w:pStyle w:val="Default"/>
        <w:rPr>
          <w:rFonts w:asciiTheme="minorHAnsi" w:hAnsiTheme="minorHAnsi"/>
          <w:sz w:val="22"/>
          <w:szCs w:val="22"/>
        </w:rPr>
      </w:pPr>
      <w:r w:rsidRPr="006E3FA6">
        <w:rPr>
          <w:rFonts w:asciiTheme="minorHAnsi" w:hAnsiTheme="minorHAnsi"/>
          <w:sz w:val="22"/>
          <w:szCs w:val="22"/>
        </w:rPr>
        <w:lastRenderedPageBreak/>
        <w:t xml:space="preserve">Where there are surpluses or unallocated funds for a </w:t>
      </w:r>
      <w:proofErr w:type="gramStart"/>
      <w:r w:rsidRPr="006E3FA6">
        <w:rPr>
          <w:rFonts w:asciiTheme="minorHAnsi" w:hAnsiTheme="minorHAnsi"/>
          <w:sz w:val="22"/>
          <w:szCs w:val="22"/>
        </w:rPr>
        <w:t>Faculty</w:t>
      </w:r>
      <w:proofErr w:type="gramEnd"/>
      <w:r w:rsidRPr="006E3FA6">
        <w:rPr>
          <w:rFonts w:asciiTheme="minorHAnsi" w:hAnsiTheme="minorHAnsi"/>
          <w:sz w:val="22"/>
          <w:szCs w:val="22"/>
        </w:rPr>
        <w:t>:</w:t>
      </w:r>
    </w:p>
    <w:p w14:paraId="6337A598" w14:textId="4FA1B130" w:rsidR="00B732AD" w:rsidRPr="006E3FA6" w:rsidRDefault="00B732AD" w:rsidP="001B032A">
      <w:pPr>
        <w:pStyle w:val="Default"/>
        <w:ind w:left="720" w:firstLine="45"/>
        <w:rPr>
          <w:rFonts w:asciiTheme="minorHAnsi" w:hAnsiTheme="minorHAnsi"/>
          <w:sz w:val="22"/>
          <w:szCs w:val="22"/>
        </w:rPr>
      </w:pPr>
      <w:proofErr w:type="spellStart"/>
      <w:r w:rsidRPr="006E3FA6">
        <w:rPr>
          <w:rFonts w:asciiTheme="minorHAnsi" w:hAnsiTheme="minorHAnsi"/>
          <w:sz w:val="22"/>
          <w:szCs w:val="22"/>
        </w:rPr>
        <w:t>i</w:t>
      </w:r>
      <w:proofErr w:type="spellEnd"/>
      <w:r w:rsidRPr="006E3FA6">
        <w:rPr>
          <w:rFonts w:asciiTheme="minorHAnsi" w:hAnsiTheme="minorHAnsi"/>
          <w:sz w:val="22"/>
          <w:szCs w:val="22"/>
        </w:rPr>
        <w:t xml:space="preserve">. these funds (up to a maximum of $10,000 each for conference and research) will be carried forward to the next competition budget for the faculty where the surplus or unallocated funds originated. </w:t>
      </w:r>
    </w:p>
    <w:p w14:paraId="68D898F3" w14:textId="77777777" w:rsidR="00B732AD" w:rsidRPr="006E3FA6" w:rsidRDefault="00B732AD" w:rsidP="001B032A">
      <w:pPr>
        <w:pStyle w:val="Default"/>
        <w:ind w:left="720"/>
        <w:rPr>
          <w:rFonts w:asciiTheme="minorHAnsi" w:hAnsiTheme="minorHAnsi"/>
          <w:sz w:val="22"/>
          <w:szCs w:val="22"/>
        </w:rPr>
      </w:pPr>
      <w:r w:rsidRPr="006E3FA6">
        <w:rPr>
          <w:rFonts w:asciiTheme="minorHAnsi" w:hAnsiTheme="minorHAnsi"/>
          <w:sz w:val="22"/>
          <w:szCs w:val="22"/>
        </w:rPr>
        <w:t xml:space="preserve">ii. Any surplus or unallocated funds </w:t>
      </w:r>
      <w:proofErr w:type="gramStart"/>
      <w:r w:rsidRPr="006E3FA6">
        <w:rPr>
          <w:rFonts w:asciiTheme="minorHAnsi" w:hAnsiTheme="minorHAnsi"/>
          <w:sz w:val="22"/>
          <w:szCs w:val="22"/>
        </w:rPr>
        <w:t>in excess of</w:t>
      </w:r>
      <w:proofErr w:type="gramEnd"/>
      <w:r w:rsidRPr="006E3FA6">
        <w:rPr>
          <w:rFonts w:asciiTheme="minorHAnsi" w:hAnsiTheme="minorHAnsi"/>
          <w:sz w:val="22"/>
          <w:szCs w:val="22"/>
        </w:rPr>
        <w:t xml:space="preserve"> $10,000 (for conference or research) will be redistributed to all other Faculties according to the standard formula. </w:t>
      </w:r>
    </w:p>
    <w:p w14:paraId="58708F39" w14:textId="67DDEBE4" w:rsidR="00B732AD" w:rsidRPr="006E3FA6" w:rsidRDefault="00B732AD" w:rsidP="001B032A">
      <w:pPr>
        <w:pStyle w:val="Default"/>
        <w:ind w:left="720"/>
        <w:rPr>
          <w:rFonts w:asciiTheme="minorHAnsi" w:hAnsiTheme="minorHAnsi"/>
          <w:sz w:val="22"/>
          <w:szCs w:val="22"/>
        </w:rPr>
      </w:pPr>
      <w:r w:rsidRPr="006E3FA6">
        <w:rPr>
          <w:rFonts w:asciiTheme="minorHAnsi" w:hAnsiTheme="minorHAnsi"/>
          <w:sz w:val="22"/>
          <w:szCs w:val="22"/>
        </w:rPr>
        <w:t xml:space="preserve">iii. transfer of funds between Research &amp; Conference allocations is permitted such that total Major Seed funding will not exceed $70K. </w:t>
      </w:r>
    </w:p>
    <w:p w14:paraId="47AF7FEA" w14:textId="32CB180A" w:rsidR="00AE709D" w:rsidRPr="006E3FA6" w:rsidRDefault="00AE709D" w:rsidP="001B032A">
      <w:pPr>
        <w:pStyle w:val="Default"/>
        <w:ind w:left="720"/>
        <w:rPr>
          <w:rFonts w:asciiTheme="minorHAnsi" w:hAnsiTheme="minorHAnsi"/>
          <w:sz w:val="22"/>
          <w:szCs w:val="22"/>
        </w:rPr>
      </w:pPr>
    </w:p>
    <w:p w14:paraId="71335B97" w14:textId="2FCD76D3" w:rsidR="00B732AD" w:rsidRPr="006E3FA6" w:rsidRDefault="00AE709D" w:rsidP="0036436B">
      <w:pPr>
        <w:spacing w:line="240" w:lineRule="auto"/>
        <w:rPr>
          <w:rFonts w:eastAsia="Times New Roman"/>
          <w:b/>
          <w:bCs/>
        </w:rPr>
      </w:pPr>
      <w:r w:rsidRPr="006E3FA6">
        <w:rPr>
          <w:rFonts w:eastAsia="Times New Roman"/>
          <w:b/>
          <w:bCs/>
          <w:i/>
          <w:iCs/>
        </w:rPr>
        <w:t xml:space="preserve">PLEASE NOTE: </w:t>
      </w:r>
      <w:r w:rsidR="00C4532C" w:rsidRPr="006E3FA6">
        <w:rPr>
          <w:rFonts w:eastAsia="Times New Roman"/>
          <w:b/>
          <w:bCs/>
          <w:i/>
          <w:iCs/>
        </w:rPr>
        <w:t>G</w:t>
      </w:r>
      <w:r w:rsidRPr="006E3FA6">
        <w:rPr>
          <w:rFonts w:eastAsia="Times New Roman"/>
          <w:b/>
          <w:bCs/>
          <w:i/>
          <w:iCs/>
        </w:rPr>
        <w:t>iven the ongoing Covid</w:t>
      </w:r>
      <w:r w:rsidRPr="006E3FA6">
        <w:rPr>
          <w:rFonts w:ascii="Times New Roman" w:eastAsia="Times New Roman" w:hAnsi="Times New Roman" w:cs="Times New Roman"/>
          <w:b/>
          <w:bCs/>
          <w:i/>
          <w:iCs/>
        </w:rPr>
        <w:t>‐</w:t>
      </w:r>
      <w:r w:rsidRPr="006E3FA6">
        <w:rPr>
          <w:rFonts w:eastAsia="Times New Roman"/>
          <w:b/>
          <w:bCs/>
          <w:i/>
          <w:iCs/>
        </w:rPr>
        <w:t>19 global pandemic, we will</w:t>
      </w:r>
      <w:r w:rsidRPr="006E3FA6">
        <w:rPr>
          <w:rStyle w:val="apple-converted-space"/>
          <w:rFonts w:eastAsia="Times New Roman"/>
          <w:b/>
          <w:bCs/>
          <w:i/>
          <w:iCs/>
        </w:rPr>
        <w:t> </w:t>
      </w:r>
      <w:r w:rsidRPr="006E3FA6">
        <w:rPr>
          <w:rFonts w:eastAsia="Times New Roman"/>
          <w:b/>
          <w:bCs/>
          <w:i/>
          <w:iCs/>
        </w:rPr>
        <w:t>not</w:t>
      </w:r>
      <w:r w:rsidRPr="006E3FA6">
        <w:rPr>
          <w:rStyle w:val="apple-converted-space"/>
          <w:rFonts w:eastAsia="Times New Roman"/>
          <w:b/>
          <w:bCs/>
          <w:i/>
          <w:iCs/>
        </w:rPr>
        <w:t> </w:t>
      </w:r>
      <w:r w:rsidRPr="006E3FA6">
        <w:rPr>
          <w:rFonts w:eastAsia="Times New Roman"/>
          <w:b/>
          <w:bCs/>
          <w:i/>
          <w:iCs/>
        </w:rPr>
        <w:t xml:space="preserve">be capping the maximum carry forward for conference or research funds at $10,000, as referenced above. Faculties will be able to carry forward conference and research funds </w:t>
      </w:r>
      <w:proofErr w:type="gramStart"/>
      <w:r w:rsidRPr="006E3FA6">
        <w:rPr>
          <w:rFonts w:eastAsia="Times New Roman"/>
          <w:b/>
          <w:bCs/>
          <w:i/>
          <w:iCs/>
        </w:rPr>
        <w:t>in excess of</w:t>
      </w:r>
      <w:proofErr w:type="gramEnd"/>
      <w:r w:rsidRPr="006E3FA6">
        <w:rPr>
          <w:rFonts w:eastAsia="Times New Roman"/>
          <w:b/>
          <w:bCs/>
          <w:i/>
          <w:iCs/>
        </w:rPr>
        <w:t xml:space="preserve"> $10,000 until further notice. Note: you may also consider transferring funds from </w:t>
      </w:r>
      <w:proofErr w:type="gramStart"/>
      <w:r w:rsidRPr="006E3FA6">
        <w:rPr>
          <w:rFonts w:eastAsia="Times New Roman"/>
          <w:b/>
          <w:bCs/>
          <w:i/>
          <w:iCs/>
        </w:rPr>
        <w:t>conference</w:t>
      </w:r>
      <w:proofErr w:type="gramEnd"/>
      <w:r w:rsidRPr="006E3FA6">
        <w:rPr>
          <w:rFonts w:eastAsia="Times New Roman"/>
          <w:b/>
          <w:bCs/>
          <w:i/>
          <w:iCs/>
        </w:rPr>
        <w:t xml:space="preserve"> to research if the need arises, please advise ROADS (if you haven’t already done so) if you wish to transfer funds. </w:t>
      </w:r>
    </w:p>
    <w:p w14:paraId="31F60F09" w14:textId="5E2C0CA3" w:rsidR="00015B99" w:rsidRPr="006E3FA6" w:rsidRDefault="00B732AD" w:rsidP="00B70231">
      <w:pPr>
        <w:spacing w:after="0" w:line="240" w:lineRule="auto"/>
      </w:pPr>
      <w:r w:rsidRPr="006E3FA6">
        <w:t xml:space="preserve"> </w:t>
      </w:r>
    </w:p>
    <w:p w14:paraId="47AB95C6" w14:textId="77777777" w:rsidR="00447BBA" w:rsidRPr="006E3FA6" w:rsidRDefault="00447BBA" w:rsidP="002F2C43">
      <w:pPr>
        <w:pStyle w:val="Heading1"/>
        <w:rPr>
          <w:rFonts w:asciiTheme="minorHAnsi" w:hAnsiTheme="minorHAnsi"/>
          <w:sz w:val="22"/>
          <w:szCs w:val="22"/>
        </w:rPr>
      </w:pPr>
      <w:r w:rsidRPr="006E3FA6">
        <w:rPr>
          <w:rFonts w:asciiTheme="minorHAnsi" w:hAnsiTheme="minorHAnsi"/>
          <w:sz w:val="22"/>
          <w:szCs w:val="22"/>
        </w:rPr>
        <w:t>Post Award Guidelines</w:t>
      </w:r>
    </w:p>
    <w:p w14:paraId="1C9DAE0A" w14:textId="77777777" w:rsidR="00C55C25" w:rsidRPr="006E3FA6" w:rsidRDefault="00C55C25" w:rsidP="002F2C43">
      <w:pPr>
        <w:spacing w:after="0" w:line="240" w:lineRule="auto"/>
      </w:pPr>
    </w:p>
    <w:p w14:paraId="682A78B1" w14:textId="77777777" w:rsidR="00447BBA" w:rsidRPr="006E3FA6" w:rsidRDefault="00447BBA" w:rsidP="002F2C43">
      <w:pPr>
        <w:pStyle w:val="Heading2"/>
        <w:rPr>
          <w:rFonts w:asciiTheme="minorHAnsi" w:hAnsiTheme="minorHAnsi"/>
          <w:color w:val="7A0000"/>
          <w:sz w:val="22"/>
          <w:szCs w:val="22"/>
          <w:u w:val="single"/>
        </w:rPr>
      </w:pPr>
      <w:r w:rsidRPr="006E3FA6">
        <w:rPr>
          <w:rFonts w:asciiTheme="minorHAnsi" w:hAnsiTheme="minorHAnsi"/>
          <w:color w:val="7A0000"/>
          <w:sz w:val="22"/>
          <w:szCs w:val="22"/>
          <w:u w:val="single"/>
        </w:rPr>
        <w:t>Deviation from Proposed Activities and/or Budget</w:t>
      </w:r>
    </w:p>
    <w:p w14:paraId="40650DF2" w14:textId="77777777" w:rsidR="00447BBA" w:rsidRPr="006E3FA6" w:rsidRDefault="00447BBA" w:rsidP="002F2C43">
      <w:pPr>
        <w:spacing w:after="0" w:line="240" w:lineRule="auto"/>
        <w:ind w:left="142"/>
      </w:pPr>
      <w:r w:rsidRPr="006E3FA6">
        <w:t>All conditio</w:t>
      </w:r>
      <w:r w:rsidR="003B3D9D" w:rsidRPr="006E3FA6">
        <w:t>ns specified in the formal grant</w:t>
      </w:r>
      <w:r w:rsidRPr="006E3FA6">
        <w:t xml:space="preserve"> notification and relevant program requirements must be respected.  Unless otherwise specified, grantees may generally deviate from the proposed research activities and/or schedules.  Furthermore, they are not required to adhere strictly to the allocation of funds set out in the application </w:t>
      </w:r>
      <w:proofErr w:type="gramStart"/>
      <w:r w:rsidRPr="006E3FA6">
        <w:t>as long as</w:t>
      </w:r>
      <w:proofErr w:type="gramEnd"/>
      <w:r w:rsidRPr="006E3FA6">
        <w:t xml:space="preserve"> they use their grant for the b</w:t>
      </w:r>
      <w:r w:rsidR="00354B79" w:rsidRPr="006E3FA6">
        <w:t>road</w:t>
      </w:r>
      <w:r w:rsidRPr="006E3FA6">
        <w:t xml:space="preserve"> purpose for which it was originally awarded.</w:t>
      </w:r>
    </w:p>
    <w:p w14:paraId="7FD4C91D" w14:textId="77777777" w:rsidR="00C55C25" w:rsidRPr="006E3FA6" w:rsidRDefault="00C55C25" w:rsidP="00B70231">
      <w:pPr>
        <w:pStyle w:val="Heading3"/>
        <w:spacing w:before="0" w:line="240" w:lineRule="auto"/>
        <w:rPr>
          <w:rFonts w:asciiTheme="minorHAnsi" w:hAnsiTheme="minorHAnsi"/>
          <w:color w:val="auto"/>
        </w:rPr>
      </w:pPr>
    </w:p>
    <w:p w14:paraId="21345353" w14:textId="77777777" w:rsidR="00447BBA" w:rsidRPr="006E3FA6" w:rsidRDefault="003B3D9D" w:rsidP="002F2C43">
      <w:pPr>
        <w:pStyle w:val="Heading2"/>
        <w:rPr>
          <w:rFonts w:asciiTheme="minorHAnsi" w:hAnsiTheme="minorHAnsi"/>
          <w:color w:val="7A0000"/>
          <w:sz w:val="22"/>
          <w:szCs w:val="22"/>
          <w:u w:val="single"/>
        </w:rPr>
      </w:pPr>
      <w:r w:rsidRPr="006E3FA6">
        <w:rPr>
          <w:rFonts w:asciiTheme="minorHAnsi" w:hAnsiTheme="minorHAnsi"/>
          <w:color w:val="7A0000"/>
          <w:sz w:val="22"/>
          <w:szCs w:val="22"/>
          <w:u w:val="single"/>
        </w:rPr>
        <w:t>Extension Requests</w:t>
      </w:r>
    </w:p>
    <w:p w14:paraId="46B0EA52" w14:textId="77777777" w:rsidR="00514ADF" w:rsidRPr="006E3FA6" w:rsidRDefault="003B3D9D" w:rsidP="00514ADF">
      <w:pPr>
        <w:spacing w:after="0" w:line="240" w:lineRule="auto"/>
        <w:ind w:left="142"/>
      </w:pPr>
      <w:r w:rsidRPr="006E3FA6">
        <w:t xml:space="preserve">Extension requests must be submitted in writing to ROADS with a clear justification for the request and plans for project completion.  Extensions are not permitted for </w:t>
      </w:r>
      <w:r w:rsidR="0037061C" w:rsidRPr="006E3FA6">
        <w:t xml:space="preserve">SSHRC Exchange </w:t>
      </w:r>
      <w:r w:rsidR="0070061A" w:rsidRPr="006E3FA6">
        <w:t>- C</w:t>
      </w:r>
      <w:r w:rsidR="0037061C" w:rsidRPr="006E3FA6">
        <w:t>onference Attendance &amp; Representational Activities</w:t>
      </w:r>
      <w:r w:rsidR="00D22A10" w:rsidRPr="006E3FA6">
        <w:t xml:space="preserve"> </w:t>
      </w:r>
      <w:r w:rsidR="0037061C" w:rsidRPr="006E3FA6">
        <w:t>Gran</w:t>
      </w:r>
      <w:r w:rsidR="0070061A" w:rsidRPr="006E3FA6">
        <w:t>t</w:t>
      </w:r>
      <w:r w:rsidR="0037061C" w:rsidRPr="006E3FA6">
        <w:t xml:space="preserve"> </w:t>
      </w:r>
      <w:r w:rsidRPr="006E3FA6">
        <w:t>projects.</w:t>
      </w:r>
    </w:p>
    <w:p w14:paraId="63B1F12F" w14:textId="77777777" w:rsidR="00514ADF" w:rsidRPr="006E3FA6" w:rsidRDefault="00514ADF" w:rsidP="00514ADF">
      <w:pPr>
        <w:spacing w:after="0" w:line="240" w:lineRule="auto"/>
        <w:ind w:left="142"/>
      </w:pPr>
    </w:p>
    <w:p w14:paraId="5F4B4EBA" w14:textId="24126F2C" w:rsidR="001205E6" w:rsidRDefault="00514ADF" w:rsidP="00F77239">
      <w:pPr>
        <w:spacing w:after="0" w:line="240" w:lineRule="auto"/>
        <w:ind w:left="142"/>
        <w:rPr>
          <w:rFonts w:eastAsia="Times New Roman"/>
          <w:b/>
          <w:bCs/>
          <w:i/>
          <w:iCs/>
        </w:rPr>
      </w:pPr>
      <w:r w:rsidRPr="006E3FA6">
        <w:rPr>
          <w:b/>
          <w:bCs/>
          <w:i/>
          <w:iCs/>
        </w:rPr>
        <w:t xml:space="preserve">NOTE: </w:t>
      </w:r>
      <w:r w:rsidR="00C4532C" w:rsidRPr="006E3FA6">
        <w:rPr>
          <w:b/>
          <w:bCs/>
          <w:i/>
          <w:iCs/>
        </w:rPr>
        <w:t xml:space="preserve">SSHRC Exchange - Conference Attendance &amp; Representational Activities Grants that have been </w:t>
      </w:r>
      <w:r w:rsidRPr="006E3FA6">
        <w:rPr>
          <w:rFonts w:eastAsia="Times New Roman"/>
          <w:b/>
          <w:bCs/>
          <w:i/>
          <w:iCs/>
          <w:color w:val="201F1D"/>
        </w:rPr>
        <w:t>award</w:t>
      </w:r>
      <w:r w:rsidR="00C4532C" w:rsidRPr="006E3FA6">
        <w:rPr>
          <w:rFonts w:eastAsia="Times New Roman"/>
          <w:b/>
          <w:bCs/>
          <w:i/>
          <w:iCs/>
          <w:color w:val="201F1D"/>
        </w:rPr>
        <w:t>e</w:t>
      </w:r>
      <w:r w:rsidRPr="006E3FA6">
        <w:rPr>
          <w:rFonts w:eastAsia="Times New Roman"/>
          <w:b/>
          <w:bCs/>
          <w:i/>
          <w:iCs/>
          <w:color w:val="201F1D"/>
        </w:rPr>
        <w:t>d but researchers are unable to attend the approved conference due to travel/Covid-19 restrictions.</w:t>
      </w:r>
      <w:r w:rsidR="00C4532C" w:rsidRPr="006E3FA6">
        <w:rPr>
          <w:rFonts w:eastAsia="Times New Roman"/>
          <w:b/>
          <w:bCs/>
          <w:i/>
          <w:iCs/>
          <w:color w:val="201F1D"/>
        </w:rPr>
        <w:t xml:space="preserve"> </w:t>
      </w:r>
      <w:r w:rsidRPr="006E3FA6">
        <w:rPr>
          <w:rFonts w:eastAsia="Times New Roman"/>
          <w:b/>
          <w:bCs/>
          <w:i/>
          <w:iCs/>
        </w:rPr>
        <w:t xml:space="preserve">ROADS will request that researchers provide a plan if they advise that they are no longer able to attend the conference they had </w:t>
      </w:r>
      <w:proofErr w:type="gramStart"/>
      <w:r w:rsidRPr="006E3FA6">
        <w:rPr>
          <w:rFonts w:eastAsia="Times New Roman"/>
          <w:b/>
          <w:bCs/>
          <w:i/>
          <w:iCs/>
        </w:rPr>
        <w:t>applied</w:t>
      </w:r>
      <w:proofErr w:type="gramEnd"/>
      <w:r w:rsidRPr="006E3FA6">
        <w:rPr>
          <w:rFonts w:eastAsia="Times New Roman"/>
          <w:b/>
          <w:bCs/>
          <w:i/>
          <w:iCs/>
        </w:rPr>
        <w:t xml:space="preserve"> and been funded for.  ROADS will forward the request to the faculty for review/approval. These will be dealt with on a case</w:t>
      </w:r>
      <w:r w:rsidR="00C4532C" w:rsidRPr="006E3FA6">
        <w:rPr>
          <w:rFonts w:eastAsia="Times New Roman"/>
          <w:b/>
          <w:bCs/>
          <w:i/>
          <w:iCs/>
        </w:rPr>
        <w:t>-</w:t>
      </w:r>
      <w:r w:rsidRPr="006E3FA6">
        <w:rPr>
          <w:rFonts w:eastAsia="Times New Roman"/>
          <w:b/>
          <w:bCs/>
          <w:i/>
          <w:iCs/>
        </w:rPr>
        <w:t>by</w:t>
      </w:r>
      <w:r w:rsidR="00C4532C" w:rsidRPr="006E3FA6">
        <w:rPr>
          <w:rFonts w:eastAsia="Times New Roman"/>
          <w:b/>
          <w:bCs/>
          <w:i/>
          <w:iCs/>
        </w:rPr>
        <w:t>-</w:t>
      </w:r>
      <w:r w:rsidRPr="006E3FA6">
        <w:rPr>
          <w:rFonts w:eastAsia="Times New Roman"/>
          <w:b/>
          <w:bCs/>
          <w:i/>
          <w:iCs/>
        </w:rPr>
        <w:t>case basis.  Alternatively, the researcher can decline the award and the funds will be returned to the respective faculty allocation.</w:t>
      </w:r>
      <w:r w:rsidR="00F77239">
        <w:rPr>
          <w:rFonts w:eastAsia="Times New Roman"/>
          <w:b/>
          <w:bCs/>
          <w:i/>
          <w:iCs/>
        </w:rPr>
        <w:t xml:space="preserve"> </w:t>
      </w:r>
    </w:p>
    <w:p w14:paraId="723FC1E6" w14:textId="12FE895F" w:rsidR="00F77239" w:rsidRDefault="00F77239" w:rsidP="00F77239">
      <w:pPr>
        <w:spacing w:after="0" w:line="240" w:lineRule="auto"/>
        <w:ind w:left="142"/>
        <w:rPr>
          <w:rFonts w:eastAsiaTheme="majorEastAsia" w:cstheme="majorBidi"/>
          <w:b/>
          <w:bCs/>
          <w:color w:val="7A0000"/>
        </w:rPr>
      </w:pPr>
    </w:p>
    <w:p w14:paraId="49E8BBE1" w14:textId="77777777" w:rsidR="00F77239" w:rsidRPr="006E3FA6" w:rsidRDefault="00F77239" w:rsidP="00F77239">
      <w:pPr>
        <w:spacing w:after="0" w:line="240" w:lineRule="auto"/>
        <w:ind w:left="142"/>
        <w:rPr>
          <w:rFonts w:eastAsiaTheme="majorEastAsia" w:cstheme="majorBidi"/>
          <w:b/>
          <w:bCs/>
          <w:color w:val="7A0000"/>
        </w:rPr>
      </w:pPr>
    </w:p>
    <w:p w14:paraId="029CB074" w14:textId="09500E90" w:rsidR="009106FD" w:rsidRPr="006E3FA6" w:rsidRDefault="009106FD" w:rsidP="009106FD">
      <w:pPr>
        <w:pStyle w:val="Heading2"/>
        <w:ind w:left="0"/>
        <w:rPr>
          <w:rFonts w:asciiTheme="minorHAnsi" w:hAnsiTheme="minorHAnsi"/>
          <w:color w:val="7A0000"/>
          <w:sz w:val="22"/>
          <w:szCs w:val="22"/>
        </w:rPr>
      </w:pPr>
      <w:r w:rsidRPr="006E3FA6">
        <w:rPr>
          <w:rFonts w:asciiTheme="minorHAnsi" w:hAnsiTheme="minorHAnsi"/>
          <w:color w:val="7A0000"/>
          <w:sz w:val="22"/>
          <w:szCs w:val="22"/>
        </w:rPr>
        <w:t>Final Report Requirement</w:t>
      </w:r>
    </w:p>
    <w:p w14:paraId="502A08C3" w14:textId="77777777" w:rsidR="009106FD" w:rsidRPr="006E3FA6" w:rsidRDefault="009106FD" w:rsidP="009106FD">
      <w:pPr>
        <w:spacing w:after="0" w:line="240" w:lineRule="auto"/>
        <w:ind w:left="142"/>
        <w:rPr>
          <w:b/>
        </w:rPr>
      </w:pPr>
    </w:p>
    <w:p w14:paraId="779F0AA3" w14:textId="77777777" w:rsidR="009106FD" w:rsidRPr="006E3FA6" w:rsidRDefault="009106FD" w:rsidP="009106FD">
      <w:pPr>
        <w:spacing w:after="0" w:line="240" w:lineRule="auto"/>
        <w:ind w:right="57"/>
        <w:rPr>
          <w:b/>
          <w:i/>
        </w:rPr>
      </w:pPr>
      <w:r w:rsidRPr="006E3FA6">
        <w:rPr>
          <w:b/>
          <w:i/>
        </w:rPr>
        <w:t xml:space="preserve">To be eligible for future ARB funding, researchers who have been awarded ARB SSHRC Explore or Exchange funds must submit a final report to ROADS </w:t>
      </w:r>
      <w:r w:rsidRPr="006E3FA6">
        <w:rPr>
          <w:b/>
          <w:bCs/>
          <w:i/>
        </w:rPr>
        <w:t>within six months</w:t>
      </w:r>
      <w:r w:rsidRPr="006E3FA6">
        <w:rPr>
          <w:b/>
          <w:i/>
        </w:rPr>
        <w:t xml:space="preserve"> of completing the project.</w:t>
      </w:r>
    </w:p>
    <w:p w14:paraId="2B681257" w14:textId="77777777" w:rsidR="009106FD" w:rsidRPr="006E3FA6" w:rsidRDefault="009106FD" w:rsidP="009106FD">
      <w:pPr>
        <w:spacing w:after="0" w:line="240" w:lineRule="auto"/>
      </w:pPr>
    </w:p>
    <w:p w14:paraId="529468A6" w14:textId="77777777" w:rsidR="00C55C25" w:rsidRPr="006E3FA6" w:rsidRDefault="00C55C25" w:rsidP="002F2C43">
      <w:pPr>
        <w:spacing w:after="0" w:line="240" w:lineRule="auto"/>
        <w:ind w:left="142"/>
      </w:pPr>
    </w:p>
    <w:p w14:paraId="227F885D" w14:textId="77777777" w:rsidR="00B70231" w:rsidRPr="006E3FA6" w:rsidRDefault="00B70231" w:rsidP="006E0FF2">
      <w:pPr>
        <w:pStyle w:val="Heading1"/>
        <w:rPr>
          <w:rFonts w:asciiTheme="minorHAnsi" w:hAnsiTheme="minorHAnsi"/>
          <w:sz w:val="22"/>
          <w:szCs w:val="22"/>
        </w:rPr>
      </w:pPr>
      <w:r w:rsidRPr="006E3FA6">
        <w:rPr>
          <w:rFonts w:asciiTheme="minorHAnsi" w:hAnsiTheme="minorHAnsi"/>
          <w:sz w:val="22"/>
          <w:szCs w:val="22"/>
        </w:rPr>
        <w:t>Additional Information</w:t>
      </w:r>
    </w:p>
    <w:p w14:paraId="227661DA" w14:textId="478BA443" w:rsidR="005B1E0D" w:rsidRPr="006E3FA6" w:rsidRDefault="00A431C6" w:rsidP="00E13AE7">
      <w:r w:rsidRPr="006E3FA6">
        <w:t>Application forms for the ARB competitions and the final reports are available on the Research Office for Administration, Developmen</w:t>
      </w:r>
      <w:r w:rsidR="005B1E0D" w:rsidRPr="006E3FA6">
        <w:t xml:space="preserve">t, and Support (ROADS) website: </w:t>
      </w:r>
      <w:hyperlink r:id="rId42" w:history="1">
        <w:r w:rsidR="003F7E00" w:rsidRPr="004F104E">
          <w:rPr>
            <w:rStyle w:val="Hyperlink"/>
            <w:rFonts w:eastAsia="Times New Roman"/>
            <w:color w:val="0070C0"/>
          </w:rPr>
          <w:t>https://research.mcmaster.ca/research-office-for-administration-development-support-roads/arts-research-board/</w:t>
        </w:r>
      </w:hyperlink>
    </w:p>
    <w:sectPr w:rsidR="005B1E0D" w:rsidRPr="006E3FA6" w:rsidSect="00277C9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650A6" w14:textId="77777777" w:rsidR="00CF3C24" w:rsidRDefault="00CF3C24" w:rsidP="007A7690">
      <w:pPr>
        <w:spacing w:after="0" w:line="240" w:lineRule="auto"/>
      </w:pPr>
      <w:r>
        <w:separator/>
      </w:r>
    </w:p>
  </w:endnote>
  <w:endnote w:type="continuationSeparator" w:id="0">
    <w:p w14:paraId="4DA30D02" w14:textId="77777777" w:rsidR="00CF3C24" w:rsidRDefault="00CF3C24" w:rsidP="007A7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427732019"/>
      <w:docPartObj>
        <w:docPartGallery w:val="Page Numbers (Bottom of Page)"/>
        <w:docPartUnique/>
      </w:docPartObj>
    </w:sdtPr>
    <w:sdtEndPr>
      <w:rPr>
        <w:noProof/>
      </w:rPr>
    </w:sdtEndPr>
    <w:sdtContent>
      <w:p w14:paraId="5DA4ADD9" w14:textId="77777777" w:rsidR="00C44CE7" w:rsidRPr="004B42E6" w:rsidRDefault="00C44CE7" w:rsidP="005C6100">
        <w:pPr>
          <w:pStyle w:val="Footer"/>
          <w:jc w:val="right"/>
          <w:rPr>
            <w:noProof/>
            <w:sz w:val="20"/>
            <w:szCs w:val="20"/>
          </w:rPr>
        </w:pPr>
        <w:r w:rsidRPr="004B42E6">
          <w:rPr>
            <w:sz w:val="20"/>
            <w:szCs w:val="20"/>
          </w:rPr>
          <w:fldChar w:fldCharType="begin"/>
        </w:r>
        <w:r w:rsidRPr="004B42E6">
          <w:rPr>
            <w:sz w:val="20"/>
            <w:szCs w:val="20"/>
          </w:rPr>
          <w:instrText xml:space="preserve"> PAGE   \* MERGEFORMAT </w:instrText>
        </w:r>
        <w:r w:rsidRPr="004B42E6">
          <w:rPr>
            <w:sz w:val="20"/>
            <w:szCs w:val="20"/>
          </w:rPr>
          <w:fldChar w:fldCharType="separate"/>
        </w:r>
        <w:r>
          <w:rPr>
            <w:noProof/>
            <w:sz w:val="20"/>
            <w:szCs w:val="20"/>
          </w:rPr>
          <w:t>14</w:t>
        </w:r>
        <w:r w:rsidRPr="004B42E6">
          <w:rPr>
            <w:noProof/>
            <w:sz w:val="20"/>
            <w:szCs w:val="20"/>
          </w:rPr>
          <w:fldChar w:fldCharType="end"/>
        </w:r>
        <w:r w:rsidRPr="004B42E6">
          <w:rPr>
            <w:noProof/>
            <w:sz w:val="20"/>
            <w:szCs w:val="20"/>
          </w:rPr>
          <w:t xml:space="preserve"> of 1</w:t>
        </w:r>
        <w:r>
          <w:rPr>
            <w:noProof/>
            <w:sz w:val="20"/>
            <w:szCs w:val="20"/>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A7590" w14:textId="77777777" w:rsidR="00CF3C24" w:rsidRDefault="00CF3C24" w:rsidP="007A7690">
      <w:pPr>
        <w:spacing w:after="0" w:line="240" w:lineRule="auto"/>
      </w:pPr>
      <w:r>
        <w:separator/>
      </w:r>
    </w:p>
  </w:footnote>
  <w:footnote w:type="continuationSeparator" w:id="0">
    <w:p w14:paraId="3C5E0374" w14:textId="77777777" w:rsidR="00CF3C24" w:rsidRDefault="00CF3C24" w:rsidP="007A76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646DE"/>
    <w:multiLevelType w:val="hybridMultilevel"/>
    <w:tmpl w:val="D0AC06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0880E25"/>
    <w:multiLevelType w:val="hybridMultilevel"/>
    <w:tmpl w:val="92845C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B33268"/>
    <w:multiLevelType w:val="hybridMultilevel"/>
    <w:tmpl w:val="DF1CDF96"/>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62E24"/>
    <w:multiLevelType w:val="hybridMultilevel"/>
    <w:tmpl w:val="CD9EB7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9110C"/>
    <w:multiLevelType w:val="hybridMultilevel"/>
    <w:tmpl w:val="287EC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A14030"/>
    <w:multiLevelType w:val="hybridMultilevel"/>
    <w:tmpl w:val="D702F03A"/>
    <w:lvl w:ilvl="0" w:tplc="93D85F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B64626"/>
    <w:multiLevelType w:val="hybridMultilevel"/>
    <w:tmpl w:val="DE528266"/>
    <w:lvl w:ilvl="0" w:tplc="CC7A0798">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F90172"/>
    <w:multiLevelType w:val="hybridMultilevel"/>
    <w:tmpl w:val="4AD072EE"/>
    <w:lvl w:ilvl="0" w:tplc="CC7A0798">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DE6268"/>
    <w:multiLevelType w:val="hybridMultilevel"/>
    <w:tmpl w:val="09C2BCA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0DFD5DDD"/>
    <w:multiLevelType w:val="hybridMultilevel"/>
    <w:tmpl w:val="1DD009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F7E7694"/>
    <w:multiLevelType w:val="hybridMultilevel"/>
    <w:tmpl w:val="C3A653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E05FE5"/>
    <w:multiLevelType w:val="hybridMultilevel"/>
    <w:tmpl w:val="1E5036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3B77CB0"/>
    <w:multiLevelType w:val="hybridMultilevel"/>
    <w:tmpl w:val="6B2AC3B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55F0295"/>
    <w:multiLevelType w:val="hybridMultilevel"/>
    <w:tmpl w:val="68E48CE2"/>
    <w:lvl w:ilvl="0" w:tplc="10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E4030D"/>
    <w:multiLevelType w:val="hybridMultilevel"/>
    <w:tmpl w:val="8A80D486"/>
    <w:lvl w:ilvl="0" w:tplc="CC7A0798">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91496B"/>
    <w:multiLevelType w:val="hybridMultilevel"/>
    <w:tmpl w:val="C8260702"/>
    <w:lvl w:ilvl="0" w:tplc="CC7A0798">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2D2E39"/>
    <w:multiLevelType w:val="hybridMultilevel"/>
    <w:tmpl w:val="1D861E0C"/>
    <w:lvl w:ilvl="0" w:tplc="11600CCC">
      <w:numFmt w:val="bullet"/>
      <w:lvlText w:val=""/>
      <w:lvlJc w:val="left"/>
      <w:pPr>
        <w:ind w:left="720" w:hanging="360"/>
      </w:pPr>
      <w:rPr>
        <w:rFonts w:ascii="Symbol" w:eastAsia="Calibri" w:hAnsi="Symbol" w:cs="Times New Roman" w:hint="default"/>
        <w:sz w:val="2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7" w15:restartNumberingAfterBreak="0">
    <w:nsid w:val="1D5C116F"/>
    <w:multiLevelType w:val="hybridMultilevel"/>
    <w:tmpl w:val="20721392"/>
    <w:lvl w:ilvl="0" w:tplc="CC7A0798">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C65E9F"/>
    <w:multiLevelType w:val="hybridMultilevel"/>
    <w:tmpl w:val="634816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1F7E6D61"/>
    <w:multiLevelType w:val="hybridMultilevel"/>
    <w:tmpl w:val="E85A4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6180E8D"/>
    <w:multiLevelType w:val="hybridMultilevel"/>
    <w:tmpl w:val="C0867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B01AC7"/>
    <w:multiLevelType w:val="hybridMultilevel"/>
    <w:tmpl w:val="9EF6BEAA"/>
    <w:lvl w:ilvl="0" w:tplc="CC7A0798">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CA7E98"/>
    <w:multiLevelType w:val="hybridMultilevel"/>
    <w:tmpl w:val="56B83302"/>
    <w:lvl w:ilvl="0" w:tplc="0D98C616">
      <w:start w:val="1"/>
      <w:numFmt w:val="decimal"/>
      <w:lvlText w:val="%1)"/>
      <w:lvlJc w:val="left"/>
      <w:pPr>
        <w:ind w:left="360" w:hanging="360"/>
      </w:pPr>
      <w:rPr>
        <w:rFonts w:eastAsia="Times New Roman"/>
      </w:rPr>
    </w:lvl>
    <w:lvl w:ilvl="1" w:tplc="0409000F">
      <w:start w:val="1"/>
      <w:numFmt w:val="decimal"/>
      <w:lvlText w:val="%2."/>
      <w:lvlJc w:val="left"/>
      <w:pPr>
        <w:ind w:left="1080" w:hanging="360"/>
      </w:pPr>
    </w:lvl>
    <w:lvl w:ilvl="2" w:tplc="04090001">
      <w:start w:val="1"/>
      <w:numFmt w:val="bullet"/>
      <w:lvlText w:val=""/>
      <w:lvlJc w:val="left"/>
      <w:pPr>
        <w:ind w:left="1440" w:hanging="360"/>
      </w:pPr>
      <w:rPr>
        <w:rFonts w:ascii="Symbol" w:hAnsi="Symbol" w:hint="default"/>
      </w:rPr>
    </w:lvl>
    <w:lvl w:ilvl="3" w:tplc="04090001">
      <w:start w:val="1"/>
      <w:numFmt w:val="bullet"/>
      <w:lvlText w:val=""/>
      <w:lvlJc w:val="left"/>
      <w:pPr>
        <w:ind w:left="3240" w:hanging="360"/>
      </w:pPr>
      <w:rPr>
        <w:rFonts w:ascii="Symbol" w:hAnsi="Symbol"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35F37505"/>
    <w:multiLevelType w:val="hybridMultilevel"/>
    <w:tmpl w:val="3514A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2114DF"/>
    <w:multiLevelType w:val="hybridMultilevel"/>
    <w:tmpl w:val="BF441CA2"/>
    <w:lvl w:ilvl="0" w:tplc="CC7A0798">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6B7D65"/>
    <w:multiLevelType w:val="hybridMultilevel"/>
    <w:tmpl w:val="A06A8F38"/>
    <w:lvl w:ilvl="0" w:tplc="00010409">
      <w:start w:val="1"/>
      <w:numFmt w:val="bullet"/>
      <w:lvlText w:val=""/>
      <w:lvlJc w:val="left"/>
      <w:pPr>
        <w:ind w:left="900" w:hanging="360"/>
      </w:pPr>
      <w:rPr>
        <w:rFonts w:ascii="Symbol" w:hAnsi="Symbol" w:hint="default"/>
      </w:rPr>
    </w:lvl>
    <w:lvl w:ilvl="1" w:tplc="10090003" w:tentative="1">
      <w:start w:val="1"/>
      <w:numFmt w:val="bullet"/>
      <w:lvlText w:val="o"/>
      <w:lvlJc w:val="left"/>
      <w:pPr>
        <w:ind w:left="1620" w:hanging="360"/>
      </w:pPr>
      <w:rPr>
        <w:rFonts w:ascii="Courier New" w:hAnsi="Courier New" w:cs="Courier New" w:hint="default"/>
      </w:rPr>
    </w:lvl>
    <w:lvl w:ilvl="2" w:tplc="10090005" w:tentative="1">
      <w:start w:val="1"/>
      <w:numFmt w:val="bullet"/>
      <w:lvlText w:val=""/>
      <w:lvlJc w:val="left"/>
      <w:pPr>
        <w:ind w:left="2340" w:hanging="360"/>
      </w:pPr>
      <w:rPr>
        <w:rFonts w:ascii="Wingdings" w:hAnsi="Wingdings" w:hint="default"/>
      </w:rPr>
    </w:lvl>
    <w:lvl w:ilvl="3" w:tplc="10090001" w:tentative="1">
      <w:start w:val="1"/>
      <w:numFmt w:val="bullet"/>
      <w:lvlText w:val=""/>
      <w:lvlJc w:val="left"/>
      <w:pPr>
        <w:ind w:left="3060" w:hanging="360"/>
      </w:pPr>
      <w:rPr>
        <w:rFonts w:ascii="Symbol" w:hAnsi="Symbol" w:hint="default"/>
      </w:rPr>
    </w:lvl>
    <w:lvl w:ilvl="4" w:tplc="10090003" w:tentative="1">
      <w:start w:val="1"/>
      <w:numFmt w:val="bullet"/>
      <w:lvlText w:val="o"/>
      <w:lvlJc w:val="left"/>
      <w:pPr>
        <w:ind w:left="3780" w:hanging="360"/>
      </w:pPr>
      <w:rPr>
        <w:rFonts w:ascii="Courier New" w:hAnsi="Courier New" w:cs="Courier New" w:hint="default"/>
      </w:rPr>
    </w:lvl>
    <w:lvl w:ilvl="5" w:tplc="10090005" w:tentative="1">
      <w:start w:val="1"/>
      <w:numFmt w:val="bullet"/>
      <w:lvlText w:val=""/>
      <w:lvlJc w:val="left"/>
      <w:pPr>
        <w:ind w:left="4500" w:hanging="360"/>
      </w:pPr>
      <w:rPr>
        <w:rFonts w:ascii="Wingdings" w:hAnsi="Wingdings" w:hint="default"/>
      </w:rPr>
    </w:lvl>
    <w:lvl w:ilvl="6" w:tplc="10090001" w:tentative="1">
      <w:start w:val="1"/>
      <w:numFmt w:val="bullet"/>
      <w:lvlText w:val=""/>
      <w:lvlJc w:val="left"/>
      <w:pPr>
        <w:ind w:left="5220" w:hanging="360"/>
      </w:pPr>
      <w:rPr>
        <w:rFonts w:ascii="Symbol" w:hAnsi="Symbol" w:hint="default"/>
      </w:rPr>
    </w:lvl>
    <w:lvl w:ilvl="7" w:tplc="10090003" w:tentative="1">
      <w:start w:val="1"/>
      <w:numFmt w:val="bullet"/>
      <w:lvlText w:val="o"/>
      <w:lvlJc w:val="left"/>
      <w:pPr>
        <w:ind w:left="5940" w:hanging="360"/>
      </w:pPr>
      <w:rPr>
        <w:rFonts w:ascii="Courier New" w:hAnsi="Courier New" w:cs="Courier New" w:hint="default"/>
      </w:rPr>
    </w:lvl>
    <w:lvl w:ilvl="8" w:tplc="10090005" w:tentative="1">
      <w:start w:val="1"/>
      <w:numFmt w:val="bullet"/>
      <w:lvlText w:val=""/>
      <w:lvlJc w:val="left"/>
      <w:pPr>
        <w:ind w:left="6660" w:hanging="360"/>
      </w:pPr>
      <w:rPr>
        <w:rFonts w:ascii="Wingdings" w:hAnsi="Wingdings" w:hint="default"/>
      </w:rPr>
    </w:lvl>
  </w:abstractNum>
  <w:abstractNum w:abstractNumId="26" w15:restartNumberingAfterBreak="0">
    <w:nsid w:val="3BDF1D46"/>
    <w:multiLevelType w:val="hybridMultilevel"/>
    <w:tmpl w:val="CCBCF938"/>
    <w:lvl w:ilvl="0" w:tplc="88B2A20E">
      <w:start w:val="1"/>
      <w:numFmt w:val="decimal"/>
      <w:lvlText w:val="%1."/>
      <w:lvlJc w:val="left"/>
      <w:pPr>
        <w:ind w:left="720" w:hanging="360"/>
      </w:pPr>
      <w:rPr>
        <w:rFonts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DD602FA"/>
    <w:multiLevelType w:val="hybridMultilevel"/>
    <w:tmpl w:val="DA60101A"/>
    <w:lvl w:ilvl="0" w:tplc="CC7A0798">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80418B"/>
    <w:multiLevelType w:val="hybridMultilevel"/>
    <w:tmpl w:val="5F4C58E8"/>
    <w:lvl w:ilvl="0" w:tplc="CC7A0798">
      <w:numFmt w:val="bullet"/>
      <w:lvlText w:val="•"/>
      <w:lvlJc w:val="left"/>
      <w:pPr>
        <w:ind w:left="720" w:hanging="72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B20E74"/>
    <w:multiLevelType w:val="hybridMultilevel"/>
    <w:tmpl w:val="03D08A42"/>
    <w:lvl w:ilvl="0" w:tplc="04090001">
      <w:start w:val="1"/>
      <w:numFmt w:val="bullet"/>
      <w:lvlText w:val=""/>
      <w:lvlJc w:val="left"/>
      <w:pPr>
        <w:ind w:left="360" w:hanging="360"/>
      </w:pPr>
      <w:rPr>
        <w:rFonts w:ascii="Symbol" w:hAnsi="Symbol" w:hint="default"/>
      </w:rPr>
    </w:lvl>
    <w:lvl w:ilvl="1" w:tplc="A860D95E">
      <w:numFmt w:val="bullet"/>
      <w:lvlText w:val="·"/>
      <w:lvlJc w:val="left"/>
      <w:pPr>
        <w:ind w:left="1080" w:hanging="360"/>
      </w:pPr>
      <w:rPr>
        <w:rFonts w:ascii="Calibri" w:eastAsia="Calibri" w:hAnsi="Calibri" w:cs="Calibri"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4A961BA4"/>
    <w:multiLevelType w:val="hybridMultilevel"/>
    <w:tmpl w:val="2B6C5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F274F7"/>
    <w:multiLevelType w:val="hybridMultilevel"/>
    <w:tmpl w:val="00946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7828DC"/>
    <w:multiLevelType w:val="hybridMultilevel"/>
    <w:tmpl w:val="9796FE04"/>
    <w:lvl w:ilvl="0" w:tplc="CC7A0798">
      <w:numFmt w:val="bullet"/>
      <w:lvlText w:val="•"/>
      <w:lvlJc w:val="left"/>
      <w:pPr>
        <w:ind w:left="2236" w:hanging="360"/>
      </w:pPr>
      <w:rPr>
        <w:rFonts w:ascii="Garamond" w:eastAsiaTheme="minorHAnsi" w:hAnsi="Garamond" w:cstheme="minorBidi" w:hint="default"/>
      </w:rPr>
    </w:lvl>
    <w:lvl w:ilvl="1" w:tplc="04090003" w:tentative="1">
      <w:start w:val="1"/>
      <w:numFmt w:val="bullet"/>
      <w:lvlText w:val="o"/>
      <w:lvlJc w:val="left"/>
      <w:pPr>
        <w:ind w:left="2956" w:hanging="360"/>
      </w:pPr>
      <w:rPr>
        <w:rFonts w:ascii="Courier New" w:hAnsi="Courier New" w:cs="Courier New" w:hint="default"/>
      </w:rPr>
    </w:lvl>
    <w:lvl w:ilvl="2" w:tplc="04090005" w:tentative="1">
      <w:start w:val="1"/>
      <w:numFmt w:val="bullet"/>
      <w:lvlText w:val=""/>
      <w:lvlJc w:val="left"/>
      <w:pPr>
        <w:ind w:left="3676" w:hanging="360"/>
      </w:pPr>
      <w:rPr>
        <w:rFonts w:ascii="Wingdings" w:hAnsi="Wingdings" w:hint="default"/>
      </w:rPr>
    </w:lvl>
    <w:lvl w:ilvl="3" w:tplc="04090001" w:tentative="1">
      <w:start w:val="1"/>
      <w:numFmt w:val="bullet"/>
      <w:lvlText w:val=""/>
      <w:lvlJc w:val="left"/>
      <w:pPr>
        <w:ind w:left="4396" w:hanging="360"/>
      </w:pPr>
      <w:rPr>
        <w:rFonts w:ascii="Symbol" w:hAnsi="Symbol" w:hint="default"/>
      </w:rPr>
    </w:lvl>
    <w:lvl w:ilvl="4" w:tplc="04090003" w:tentative="1">
      <w:start w:val="1"/>
      <w:numFmt w:val="bullet"/>
      <w:lvlText w:val="o"/>
      <w:lvlJc w:val="left"/>
      <w:pPr>
        <w:ind w:left="5116" w:hanging="360"/>
      </w:pPr>
      <w:rPr>
        <w:rFonts w:ascii="Courier New" w:hAnsi="Courier New" w:cs="Courier New" w:hint="default"/>
      </w:rPr>
    </w:lvl>
    <w:lvl w:ilvl="5" w:tplc="04090005" w:tentative="1">
      <w:start w:val="1"/>
      <w:numFmt w:val="bullet"/>
      <w:lvlText w:val=""/>
      <w:lvlJc w:val="left"/>
      <w:pPr>
        <w:ind w:left="5836" w:hanging="360"/>
      </w:pPr>
      <w:rPr>
        <w:rFonts w:ascii="Wingdings" w:hAnsi="Wingdings" w:hint="default"/>
      </w:rPr>
    </w:lvl>
    <w:lvl w:ilvl="6" w:tplc="04090001" w:tentative="1">
      <w:start w:val="1"/>
      <w:numFmt w:val="bullet"/>
      <w:lvlText w:val=""/>
      <w:lvlJc w:val="left"/>
      <w:pPr>
        <w:ind w:left="6556" w:hanging="360"/>
      </w:pPr>
      <w:rPr>
        <w:rFonts w:ascii="Symbol" w:hAnsi="Symbol" w:hint="default"/>
      </w:rPr>
    </w:lvl>
    <w:lvl w:ilvl="7" w:tplc="04090003" w:tentative="1">
      <w:start w:val="1"/>
      <w:numFmt w:val="bullet"/>
      <w:lvlText w:val="o"/>
      <w:lvlJc w:val="left"/>
      <w:pPr>
        <w:ind w:left="7276" w:hanging="360"/>
      </w:pPr>
      <w:rPr>
        <w:rFonts w:ascii="Courier New" w:hAnsi="Courier New" w:cs="Courier New" w:hint="default"/>
      </w:rPr>
    </w:lvl>
    <w:lvl w:ilvl="8" w:tplc="04090005" w:tentative="1">
      <w:start w:val="1"/>
      <w:numFmt w:val="bullet"/>
      <w:lvlText w:val=""/>
      <w:lvlJc w:val="left"/>
      <w:pPr>
        <w:ind w:left="7996" w:hanging="360"/>
      </w:pPr>
      <w:rPr>
        <w:rFonts w:ascii="Wingdings" w:hAnsi="Wingdings" w:hint="default"/>
      </w:rPr>
    </w:lvl>
  </w:abstractNum>
  <w:abstractNum w:abstractNumId="33" w15:restartNumberingAfterBreak="0">
    <w:nsid w:val="546C0BF3"/>
    <w:multiLevelType w:val="hybridMultilevel"/>
    <w:tmpl w:val="131C677C"/>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54F508AD"/>
    <w:multiLevelType w:val="hybridMultilevel"/>
    <w:tmpl w:val="B1D23870"/>
    <w:lvl w:ilvl="0" w:tplc="47DC1DD4">
      <w:start w:val="2"/>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7D7C55"/>
    <w:multiLevelType w:val="hybridMultilevel"/>
    <w:tmpl w:val="160C1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905F22"/>
    <w:multiLevelType w:val="hybridMultilevel"/>
    <w:tmpl w:val="E572DB8C"/>
    <w:lvl w:ilvl="0" w:tplc="CC7A0798">
      <w:numFmt w:val="bullet"/>
      <w:lvlText w:val="•"/>
      <w:lvlJc w:val="left"/>
      <w:pPr>
        <w:ind w:left="720" w:hanging="72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7604DB"/>
    <w:multiLevelType w:val="hybridMultilevel"/>
    <w:tmpl w:val="0114D9C8"/>
    <w:lvl w:ilvl="0" w:tplc="CC7A0798">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795F26"/>
    <w:multiLevelType w:val="hybridMultilevel"/>
    <w:tmpl w:val="04F0C1BC"/>
    <w:lvl w:ilvl="0" w:tplc="CC7A0798">
      <w:numFmt w:val="bullet"/>
      <w:lvlText w:val="•"/>
      <w:lvlJc w:val="left"/>
      <w:pPr>
        <w:ind w:left="720" w:hanging="720"/>
      </w:pPr>
      <w:rPr>
        <w:rFonts w:ascii="Garamond" w:eastAsiaTheme="minorHAnsi" w:hAnsi="Garamond"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FCF4145"/>
    <w:multiLevelType w:val="hybridMultilevel"/>
    <w:tmpl w:val="505A02F6"/>
    <w:lvl w:ilvl="0" w:tplc="10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5A37A79"/>
    <w:multiLevelType w:val="hybridMultilevel"/>
    <w:tmpl w:val="776A7EB8"/>
    <w:lvl w:ilvl="0" w:tplc="CC7A0798">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BB663F"/>
    <w:multiLevelType w:val="hybridMultilevel"/>
    <w:tmpl w:val="A5C057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6BA3196F"/>
    <w:multiLevelType w:val="hybridMultilevel"/>
    <w:tmpl w:val="E9540080"/>
    <w:lvl w:ilvl="0" w:tplc="04090001">
      <w:start w:val="1"/>
      <w:numFmt w:val="bullet"/>
      <w:lvlText w:val=""/>
      <w:lvlJc w:val="left"/>
      <w:pPr>
        <w:ind w:left="720" w:hanging="72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DD41F9A"/>
    <w:multiLevelType w:val="hybridMultilevel"/>
    <w:tmpl w:val="191A7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2A55F6"/>
    <w:multiLevelType w:val="multilevel"/>
    <w:tmpl w:val="2F289D6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F7F73DD"/>
    <w:multiLevelType w:val="hybridMultilevel"/>
    <w:tmpl w:val="7FF2EE7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615673264">
    <w:abstractNumId w:val="35"/>
  </w:num>
  <w:num w:numId="2" w16cid:durableId="598757772">
    <w:abstractNumId w:val="38"/>
  </w:num>
  <w:num w:numId="3" w16cid:durableId="552231929">
    <w:abstractNumId w:val="28"/>
  </w:num>
  <w:num w:numId="4" w16cid:durableId="1766076113">
    <w:abstractNumId w:val="36"/>
  </w:num>
  <w:num w:numId="5" w16cid:durableId="1668165383">
    <w:abstractNumId w:val="15"/>
  </w:num>
  <w:num w:numId="6" w16cid:durableId="2123836260">
    <w:abstractNumId w:val="21"/>
  </w:num>
  <w:num w:numId="7" w16cid:durableId="1375614036">
    <w:abstractNumId w:val="43"/>
  </w:num>
  <w:num w:numId="8" w16cid:durableId="1737624138">
    <w:abstractNumId w:val="5"/>
  </w:num>
  <w:num w:numId="9" w16cid:durableId="517474055">
    <w:abstractNumId w:val="27"/>
  </w:num>
  <w:num w:numId="10" w16cid:durableId="968241679">
    <w:abstractNumId w:val="37"/>
  </w:num>
  <w:num w:numId="11" w16cid:durableId="2011564291">
    <w:abstractNumId w:val="14"/>
  </w:num>
  <w:num w:numId="12" w16cid:durableId="132794246">
    <w:abstractNumId w:val="32"/>
  </w:num>
  <w:num w:numId="13" w16cid:durableId="1492745998">
    <w:abstractNumId w:val="24"/>
  </w:num>
  <w:num w:numId="14" w16cid:durableId="1463885569">
    <w:abstractNumId w:val="40"/>
  </w:num>
  <w:num w:numId="15" w16cid:durableId="968705470">
    <w:abstractNumId w:val="6"/>
  </w:num>
  <w:num w:numId="16" w16cid:durableId="347876896">
    <w:abstractNumId w:val="7"/>
  </w:num>
  <w:num w:numId="17" w16cid:durableId="597561763">
    <w:abstractNumId w:val="17"/>
  </w:num>
  <w:num w:numId="18" w16cid:durableId="1033577003">
    <w:abstractNumId w:val="23"/>
  </w:num>
  <w:num w:numId="19" w16cid:durableId="480586483">
    <w:abstractNumId w:val="34"/>
  </w:num>
  <w:num w:numId="20" w16cid:durableId="1925340771">
    <w:abstractNumId w:val="33"/>
  </w:num>
  <w:num w:numId="21" w16cid:durableId="1124423531">
    <w:abstractNumId w:val="30"/>
  </w:num>
  <w:num w:numId="22" w16cid:durableId="1046832290">
    <w:abstractNumId w:val="4"/>
  </w:num>
  <w:num w:numId="23" w16cid:durableId="28070111">
    <w:abstractNumId w:val="30"/>
  </w:num>
  <w:num w:numId="24" w16cid:durableId="1395812681">
    <w:abstractNumId w:val="9"/>
  </w:num>
  <w:num w:numId="25" w16cid:durableId="585653002">
    <w:abstractNumId w:val="19"/>
  </w:num>
  <w:num w:numId="26" w16cid:durableId="1246960935">
    <w:abstractNumId w:val="8"/>
  </w:num>
  <w:num w:numId="27" w16cid:durableId="1465999851">
    <w:abstractNumId w:val="18"/>
  </w:num>
  <w:num w:numId="28" w16cid:durableId="59720227">
    <w:abstractNumId w:val="45"/>
  </w:num>
  <w:num w:numId="29" w16cid:durableId="393624010">
    <w:abstractNumId w:val="1"/>
  </w:num>
  <w:num w:numId="30" w16cid:durableId="227812327">
    <w:abstractNumId w:val="0"/>
  </w:num>
  <w:num w:numId="31" w16cid:durableId="1356350479">
    <w:abstractNumId w:val="26"/>
  </w:num>
  <w:num w:numId="32" w16cid:durableId="1639992551">
    <w:abstractNumId w:val="3"/>
  </w:num>
  <w:num w:numId="33" w16cid:durableId="1071849682">
    <w:abstractNumId w:val="10"/>
  </w:num>
  <w:num w:numId="34" w16cid:durableId="1667199089">
    <w:abstractNumId w:val="20"/>
  </w:num>
  <w:num w:numId="35" w16cid:durableId="44069350">
    <w:abstractNumId w:val="31"/>
  </w:num>
  <w:num w:numId="36" w16cid:durableId="82842194">
    <w:abstractNumId w:val="2"/>
  </w:num>
  <w:num w:numId="37" w16cid:durableId="314264679">
    <w:abstractNumId w:val="42"/>
  </w:num>
  <w:num w:numId="38" w16cid:durableId="1326514687">
    <w:abstractNumId w:val="39"/>
  </w:num>
  <w:num w:numId="39" w16cid:durableId="1241258924">
    <w:abstractNumId w:val="13"/>
  </w:num>
  <w:num w:numId="40" w16cid:durableId="1829662843">
    <w:abstractNumId w:val="25"/>
  </w:num>
  <w:num w:numId="41" w16cid:durableId="417168111">
    <w:abstractNumId w:val="41"/>
  </w:num>
  <w:num w:numId="42" w16cid:durableId="1493909836">
    <w:abstractNumId w:val="11"/>
  </w:num>
  <w:num w:numId="43" w16cid:durableId="454982888">
    <w:abstractNumId w:val="12"/>
  </w:num>
  <w:num w:numId="44" w16cid:durableId="12797532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24378182">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75331302">
    <w:abstractNumId w:val="29"/>
  </w:num>
  <w:num w:numId="47" w16cid:durableId="762267890">
    <w:abstractNumId w:val="2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870"/>
    <w:rsid w:val="00002183"/>
    <w:rsid w:val="00005666"/>
    <w:rsid w:val="0000644C"/>
    <w:rsid w:val="0000769C"/>
    <w:rsid w:val="000131EF"/>
    <w:rsid w:val="00015B99"/>
    <w:rsid w:val="000247EF"/>
    <w:rsid w:val="0003319C"/>
    <w:rsid w:val="00034B8F"/>
    <w:rsid w:val="000406A2"/>
    <w:rsid w:val="0004300A"/>
    <w:rsid w:val="0005626E"/>
    <w:rsid w:val="00066CC9"/>
    <w:rsid w:val="00067C55"/>
    <w:rsid w:val="00070372"/>
    <w:rsid w:val="00071264"/>
    <w:rsid w:val="000734D1"/>
    <w:rsid w:val="00074237"/>
    <w:rsid w:val="0007428F"/>
    <w:rsid w:val="00080A65"/>
    <w:rsid w:val="00092115"/>
    <w:rsid w:val="000A3713"/>
    <w:rsid w:val="000A654F"/>
    <w:rsid w:val="000C5C2F"/>
    <w:rsid w:val="000E0E0E"/>
    <w:rsid w:val="000E398C"/>
    <w:rsid w:val="000E65E1"/>
    <w:rsid w:val="00110707"/>
    <w:rsid w:val="00111120"/>
    <w:rsid w:val="001202D7"/>
    <w:rsid w:val="001203F2"/>
    <w:rsid w:val="001205E6"/>
    <w:rsid w:val="001243BC"/>
    <w:rsid w:val="001305B0"/>
    <w:rsid w:val="001434B7"/>
    <w:rsid w:val="00143BCE"/>
    <w:rsid w:val="00156BBB"/>
    <w:rsid w:val="00174DF2"/>
    <w:rsid w:val="001947C3"/>
    <w:rsid w:val="00195A90"/>
    <w:rsid w:val="00195FF3"/>
    <w:rsid w:val="001A0557"/>
    <w:rsid w:val="001A5BD8"/>
    <w:rsid w:val="001B032A"/>
    <w:rsid w:val="001B054F"/>
    <w:rsid w:val="001B161F"/>
    <w:rsid w:val="001B24B9"/>
    <w:rsid w:val="001B7B42"/>
    <w:rsid w:val="001C1599"/>
    <w:rsid w:val="001D084E"/>
    <w:rsid w:val="001D5D85"/>
    <w:rsid w:val="001D6895"/>
    <w:rsid w:val="001E345B"/>
    <w:rsid w:val="001E562D"/>
    <w:rsid w:val="0020596E"/>
    <w:rsid w:val="00207220"/>
    <w:rsid w:val="00210177"/>
    <w:rsid w:val="00212458"/>
    <w:rsid w:val="00224D72"/>
    <w:rsid w:val="002259DC"/>
    <w:rsid w:val="00233EEA"/>
    <w:rsid w:val="00234F2D"/>
    <w:rsid w:val="0023788C"/>
    <w:rsid w:val="00240A89"/>
    <w:rsid w:val="00243902"/>
    <w:rsid w:val="00245731"/>
    <w:rsid w:val="002503C5"/>
    <w:rsid w:val="00256E68"/>
    <w:rsid w:val="00257093"/>
    <w:rsid w:val="00264F3D"/>
    <w:rsid w:val="00266424"/>
    <w:rsid w:val="0027378D"/>
    <w:rsid w:val="002738B0"/>
    <w:rsid w:val="002764EF"/>
    <w:rsid w:val="00277C92"/>
    <w:rsid w:val="00285FCA"/>
    <w:rsid w:val="00296E07"/>
    <w:rsid w:val="002A01B4"/>
    <w:rsid w:val="002A08FD"/>
    <w:rsid w:val="002A0972"/>
    <w:rsid w:val="002A25B9"/>
    <w:rsid w:val="002A2805"/>
    <w:rsid w:val="002A3CDB"/>
    <w:rsid w:val="002A43E7"/>
    <w:rsid w:val="002C01E6"/>
    <w:rsid w:val="002C18EE"/>
    <w:rsid w:val="002C2039"/>
    <w:rsid w:val="002D19D1"/>
    <w:rsid w:val="002D6CAF"/>
    <w:rsid w:val="002D77A7"/>
    <w:rsid w:val="002E2BAE"/>
    <w:rsid w:val="002E575C"/>
    <w:rsid w:val="002F2C43"/>
    <w:rsid w:val="002F3329"/>
    <w:rsid w:val="002F6D55"/>
    <w:rsid w:val="00305EF6"/>
    <w:rsid w:val="00311D1E"/>
    <w:rsid w:val="00314606"/>
    <w:rsid w:val="00322CCF"/>
    <w:rsid w:val="00322E9F"/>
    <w:rsid w:val="00325E37"/>
    <w:rsid w:val="00331262"/>
    <w:rsid w:val="003433FB"/>
    <w:rsid w:val="00345586"/>
    <w:rsid w:val="00354B79"/>
    <w:rsid w:val="00357435"/>
    <w:rsid w:val="00357E3F"/>
    <w:rsid w:val="0036436B"/>
    <w:rsid w:val="0037061C"/>
    <w:rsid w:val="00372060"/>
    <w:rsid w:val="0037743D"/>
    <w:rsid w:val="00377F3E"/>
    <w:rsid w:val="003822C6"/>
    <w:rsid w:val="00382585"/>
    <w:rsid w:val="00394FF8"/>
    <w:rsid w:val="003B164E"/>
    <w:rsid w:val="003B1BA6"/>
    <w:rsid w:val="003B3D9D"/>
    <w:rsid w:val="003C70A5"/>
    <w:rsid w:val="003D034D"/>
    <w:rsid w:val="003D469D"/>
    <w:rsid w:val="003F7E00"/>
    <w:rsid w:val="00447BBA"/>
    <w:rsid w:val="00472D08"/>
    <w:rsid w:val="00472DCD"/>
    <w:rsid w:val="00473EF7"/>
    <w:rsid w:val="00475F08"/>
    <w:rsid w:val="00480915"/>
    <w:rsid w:val="00482903"/>
    <w:rsid w:val="004869BF"/>
    <w:rsid w:val="00490398"/>
    <w:rsid w:val="00495755"/>
    <w:rsid w:val="004971A1"/>
    <w:rsid w:val="004B3A8E"/>
    <w:rsid w:val="004B42E6"/>
    <w:rsid w:val="004C3B1E"/>
    <w:rsid w:val="004E2DCA"/>
    <w:rsid w:val="004E4A3E"/>
    <w:rsid w:val="004E63E3"/>
    <w:rsid w:val="004F104E"/>
    <w:rsid w:val="004F6E6D"/>
    <w:rsid w:val="00510C2C"/>
    <w:rsid w:val="00514ADF"/>
    <w:rsid w:val="00527169"/>
    <w:rsid w:val="00533724"/>
    <w:rsid w:val="005428F9"/>
    <w:rsid w:val="00545E72"/>
    <w:rsid w:val="005551D7"/>
    <w:rsid w:val="0056090A"/>
    <w:rsid w:val="005639BE"/>
    <w:rsid w:val="00567BA7"/>
    <w:rsid w:val="00585A7C"/>
    <w:rsid w:val="00591EFF"/>
    <w:rsid w:val="005954DB"/>
    <w:rsid w:val="005A1A7F"/>
    <w:rsid w:val="005A698D"/>
    <w:rsid w:val="005A78FB"/>
    <w:rsid w:val="005B0032"/>
    <w:rsid w:val="005B1E0D"/>
    <w:rsid w:val="005C075B"/>
    <w:rsid w:val="005C6100"/>
    <w:rsid w:val="005D3978"/>
    <w:rsid w:val="005E26AE"/>
    <w:rsid w:val="005E3A03"/>
    <w:rsid w:val="005E7200"/>
    <w:rsid w:val="005F3341"/>
    <w:rsid w:val="005F72AC"/>
    <w:rsid w:val="00607B18"/>
    <w:rsid w:val="0061086E"/>
    <w:rsid w:val="00614E6E"/>
    <w:rsid w:val="006179D2"/>
    <w:rsid w:val="00621083"/>
    <w:rsid w:val="006223C1"/>
    <w:rsid w:val="00627866"/>
    <w:rsid w:val="00627D0D"/>
    <w:rsid w:val="006308F9"/>
    <w:rsid w:val="00642397"/>
    <w:rsid w:val="00647C2D"/>
    <w:rsid w:val="00657B53"/>
    <w:rsid w:val="00657E34"/>
    <w:rsid w:val="0067062A"/>
    <w:rsid w:val="00671071"/>
    <w:rsid w:val="00683D81"/>
    <w:rsid w:val="00683DA9"/>
    <w:rsid w:val="006A1BC3"/>
    <w:rsid w:val="006A3761"/>
    <w:rsid w:val="006A7E2B"/>
    <w:rsid w:val="006B1FBB"/>
    <w:rsid w:val="006C0735"/>
    <w:rsid w:val="006D4B4C"/>
    <w:rsid w:val="006D7918"/>
    <w:rsid w:val="006E0FF2"/>
    <w:rsid w:val="006E3FA6"/>
    <w:rsid w:val="006E5682"/>
    <w:rsid w:val="006E5905"/>
    <w:rsid w:val="006F3F70"/>
    <w:rsid w:val="006F4F54"/>
    <w:rsid w:val="0070061A"/>
    <w:rsid w:val="00701F6A"/>
    <w:rsid w:val="007039D5"/>
    <w:rsid w:val="00706BD5"/>
    <w:rsid w:val="007128BA"/>
    <w:rsid w:val="007171E1"/>
    <w:rsid w:val="00724D9C"/>
    <w:rsid w:val="00726465"/>
    <w:rsid w:val="00743C77"/>
    <w:rsid w:val="00746017"/>
    <w:rsid w:val="00746691"/>
    <w:rsid w:val="00750D58"/>
    <w:rsid w:val="007518B8"/>
    <w:rsid w:val="00752F53"/>
    <w:rsid w:val="00782F53"/>
    <w:rsid w:val="00783BAD"/>
    <w:rsid w:val="00791882"/>
    <w:rsid w:val="0079300F"/>
    <w:rsid w:val="007948EB"/>
    <w:rsid w:val="00794A29"/>
    <w:rsid w:val="00796234"/>
    <w:rsid w:val="007A10E7"/>
    <w:rsid w:val="007A25A4"/>
    <w:rsid w:val="007A7690"/>
    <w:rsid w:val="007B1100"/>
    <w:rsid w:val="007B7A8E"/>
    <w:rsid w:val="007C3F8D"/>
    <w:rsid w:val="007C6A81"/>
    <w:rsid w:val="007D1DA6"/>
    <w:rsid w:val="007D3EE5"/>
    <w:rsid w:val="007E2BBC"/>
    <w:rsid w:val="007E70BA"/>
    <w:rsid w:val="007F05EA"/>
    <w:rsid w:val="00803C35"/>
    <w:rsid w:val="00804553"/>
    <w:rsid w:val="008106AE"/>
    <w:rsid w:val="00814255"/>
    <w:rsid w:val="008301C5"/>
    <w:rsid w:val="00842DD1"/>
    <w:rsid w:val="00847870"/>
    <w:rsid w:val="008534AE"/>
    <w:rsid w:val="008537DD"/>
    <w:rsid w:val="00855C16"/>
    <w:rsid w:val="00856F1C"/>
    <w:rsid w:val="0088163C"/>
    <w:rsid w:val="00894672"/>
    <w:rsid w:val="00894D05"/>
    <w:rsid w:val="008B1956"/>
    <w:rsid w:val="008C3C79"/>
    <w:rsid w:val="008C506B"/>
    <w:rsid w:val="008D01E9"/>
    <w:rsid w:val="008D5488"/>
    <w:rsid w:val="008D7824"/>
    <w:rsid w:val="008E2BBF"/>
    <w:rsid w:val="008E5D84"/>
    <w:rsid w:val="008E74C1"/>
    <w:rsid w:val="008F0149"/>
    <w:rsid w:val="008F7368"/>
    <w:rsid w:val="009106FD"/>
    <w:rsid w:val="00930D3C"/>
    <w:rsid w:val="009325F0"/>
    <w:rsid w:val="009326BC"/>
    <w:rsid w:val="00944D4A"/>
    <w:rsid w:val="009456CB"/>
    <w:rsid w:val="0094596C"/>
    <w:rsid w:val="00954B02"/>
    <w:rsid w:val="00964CF6"/>
    <w:rsid w:val="00965B9F"/>
    <w:rsid w:val="009723B2"/>
    <w:rsid w:val="0097632A"/>
    <w:rsid w:val="009804BA"/>
    <w:rsid w:val="009832A1"/>
    <w:rsid w:val="0098367B"/>
    <w:rsid w:val="00983DBD"/>
    <w:rsid w:val="0098748B"/>
    <w:rsid w:val="00987EEA"/>
    <w:rsid w:val="009B10ED"/>
    <w:rsid w:val="009B1D3C"/>
    <w:rsid w:val="009B557C"/>
    <w:rsid w:val="009B5DAB"/>
    <w:rsid w:val="009C50FA"/>
    <w:rsid w:val="009D6FB2"/>
    <w:rsid w:val="009E2877"/>
    <w:rsid w:val="009E3525"/>
    <w:rsid w:val="009F7F9C"/>
    <w:rsid w:val="00A0152D"/>
    <w:rsid w:val="00A25EF3"/>
    <w:rsid w:val="00A27C99"/>
    <w:rsid w:val="00A431C6"/>
    <w:rsid w:val="00A500D4"/>
    <w:rsid w:val="00A5600D"/>
    <w:rsid w:val="00A57402"/>
    <w:rsid w:val="00A60A59"/>
    <w:rsid w:val="00A675A6"/>
    <w:rsid w:val="00A82802"/>
    <w:rsid w:val="00A859AA"/>
    <w:rsid w:val="00A86079"/>
    <w:rsid w:val="00A91442"/>
    <w:rsid w:val="00A9433B"/>
    <w:rsid w:val="00AA5879"/>
    <w:rsid w:val="00AB1680"/>
    <w:rsid w:val="00AB34D0"/>
    <w:rsid w:val="00AB5D5D"/>
    <w:rsid w:val="00AB6C32"/>
    <w:rsid w:val="00AC1C2D"/>
    <w:rsid w:val="00AD1235"/>
    <w:rsid w:val="00AD542E"/>
    <w:rsid w:val="00AE44DA"/>
    <w:rsid w:val="00AE709D"/>
    <w:rsid w:val="00AF0C6A"/>
    <w:rsid w:val="00AF4675"/>
    <w:rsid w:val="00AF510B"/>
    <w:rsid w:val="00AF78AD"/>
    <w:rsid w:val="00B017E1"/>
    <w:rsid w:val="00B028BD"/>
    <w:rsid w:val="00B05A05"/>
    <w:rsid w:val="00B12E39"/>
    <w:rsid w:val="00B1378A"/>
    <w:rsid w:val="00B174F4"/>
    <w:rsid w:val="00B21860"/>
    <w:rsid w:val="00B54EC9"/>
    <w:rsid w:val="00B70231"/>
    <w:rsid w:val="00B732AD"/>
    <w:rsid w:val="00B736C5"/>
    <w:rsid w:val="00B761AA"/>
    <w:rsid w:val="00B80CAE"/>
    <w:rsid w:val="00B82CDC"/>
    <w:rsid w:val="00B873DC"/>
    <w:rsid w:val="00B90AA8"/>
    <w:rsid w:val="00B93999"/>
    <w:rsid w:val="00B97666"/>
    <w:rsid w:val="00BB2581"/>
    <w:rsid w:val="00BB7889"/>
    <w:rsid w:val="00BC2D18"/>
    <w:rsid w:val="00BC3331"/>
    <w:rsid w:val="00BC477E"/>
    <w:rsid w:val="00BC7AD5"/>
    <w:rsid w:val="00BE1D1E"/>
    <w:rsid w:val="00BE3235"/>
    <w:rsid w:val="00BE3E39"/>
    <w:rsid w:val="00BF7586"/>
    <w:rsid w:val="00C01D14"/>
    <w:rsid w:val="00C055F1"/>
    <w:rsid w:val="00C05AEA"/>
    <w:rsid w:val="00C16FC2"/>
    <w:rsid w:val="00C25FAE"/>
    <w:rsid w:val="00C341D8"/>
    <w:rsid w:val="00C41A3D"/>
    <w:rsid w:val="00C43D21"/>
    <w:rsid w:val="00C442BC"/>
    <w:rsid w:val="00C44CE7"/>
    <w:rsid w:val="00C4532C"/>
    <w:rsid w:val="00C53B4D"/>
    <w:rsid w:val="00C55C25"/>
    <w:rsid w:val="00C63741"/>
    <w:rsid w:val="00C909C3"/>
    <w:rsid w:val="00C924C4"/>
    <w:rsid w:val="00C95A93"/>
    <w:rsid w:val="00C96123"/>
    <w:rsid w:val="00CA6347"/>
    <w:rsid w:val="00CB0BC9"/>
    <w:rsid w:val="00CB1C4A"/>
    <w:rsid w:val="00CB7524"/>
    <w:rsid w:val="00CC008D"/>
    <w:rsid w:val="00CC21E3"/>
    <w:rsid w:val="00CC356F"/>
    <w:rsid w:val="00CC66CC"/>
    <w:rsid w:val="00CC6C69"/>
    <w:rsid w:val="00CE1F36"/>
    <w:rsid w:val="00CE3573"/>
    <w:rsid w:val="00CE3ACD"/>
    <w:rsid w:val="00CF26AF"/>
    <w:rsid w:val="00CF3C24"/>
    <w:rsid w:val="00D069E7"/>
    <w:rsid w:val="00D126C8"/>
    <w:rsid w:val="00D16B65"/>
    <w:rsid w:val="00D22A10"/>
    <w:rsid w:val="00D2697C"/>
    <w:rsid w:val="00D307B1"/>
    <w:rsid w:val="00D35332"/>
    <w:rsid w:val="00D46D7E"/>
    <w:rsid w:val="00D47987"/>
    <w:rsid w:val="00D65DE7"/>
    <w:rsid w:val="00D70B49"/>
    <w:rsid w:val="00D73F67"/>
    <w:rsid w:val="00D843D6"/>
    <w:rsid w:val="00D87763"/>
    <w:rsid w:val="00D94814"/>
    <w:rsid w:val="00DA22E8"/>
    <w:rsid w:val="00DB3E6A"/>
    <w:rsid w:val="00DB4CB4"/>
    <w:rsid w:val="00DB6BFF"/>
    <w:rsid w:val="00DC27E8"/>
    <w:rsid w:val="00DD3119"/>
    <w:rsid w:val="00DD459E"/>
    <w:rsid w:val="00DD5464"/>
    <w:rsid w:val="00DE25D4"/>
    <w:rsid w:val="00DF265B"/>
    <w:rsid w:val="00E04B2D"/>
    <w:rsid w:val="00E125B8"/>
    <w:rsid w:val="00E13AE7"/>
    <w:rsid w:val="00E17239"/>
    <w:rsid w:val="00E3423A"/>
    <w:rsid w:val="00E55E99"/>
    <w:rsid w:val="00E62CFE"/>
    <w:rsid w:val="00E6433F"/>
    <w:rsid w:val="00E71BFA"/>
    <w:rsid w:val="00E72690"/>
    <w:rsid w:val="00E727F8"/>
    <w:rsid w:val="00E83C21"/>
    <w:rsid w:val="00E86191"/>
    <w:rsid w:val="00E86807"/>
    <w:rsid w:val="00E9060C"/>
    <w:rsid w:val="00E92A79"/>
    <w:rsid w:val="00E97E3B"/>
    <w:rsid w:val="00EA730D"/>
    <w:rsid w:val="00EB3A75"/>
    <w:rsid w:val="00EB725D"/>
    <w:rsid w:val="00EB7F57"/>
    <w:rsid w:val="00EC2FC5"/>
    <w:rsid w:val="00EC6B43"/>
    <w:rsid w:val="00ED6D8D"/>
    <w:rsid w:val="00EE32E2"/>
    <w:rsid w:val="00EE4E31"/>
    <w:rsid w:val="00EE6FB4"/>
    <w:rsid w:val="00EF2D37"/>
    <w:rsid w:val="00F05C47"/>
    <w:rsid w:val="00F05CAC"/>
    <w:rsid w:val="00F1198A"/>
    <w:rsid w:val="00F1415E"/>
    <w:rsid w:val="00F14BCC"/>
    <w:rsid w:val="00F2644D"/>
    <w:rsid w:val="00F3016C"/>
    <w:rsid w:val="00F308B0"/>
    <w:rsid w:val="00F415AD"/>
    <w:rsid w:val="00F41BDB"/>
    <w:rsid w:val="00F46A9E"/>
    <w:rsid w:val="00F471F7"/>
    <w:rsid w:val="00F70337"/>
    <w:rsid w:val="00F722AA"/>
    <w:rsid w:val="00F74C43"/>
    <w:rsid w:val="00F762A8"/>
    <w:rsid w:val="00F77239"/>
    <w:rsid w:val="00F804CF"/>
    <w:rsid w:val="00F80E88"/>
    <w:rsid w:val="00F80F00"/>
    <w:rsid w:val="00F9494C"/>
    <w:rsid w:val="00F95CF2"/>
    <w:rsid w:val="00FA4BE9"/>
    <w:rsid w:val="00FA6411"/>
    <w:rsid w:val="00FB31FD"/>
    <w:rsid w:val="00FB7F45"/>
    <w:rsid w:val="00FC1EE2"/>
    <w:rsid w:val="00FC3AB0"/>
    <w:rsid w:val="00FC6225"/>
    <w:rsid w:val="00FE128B"/>
    <w:rsid w:val="00FE4010"/>
    <w:rsid w:val="00FE6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9D42857"/>
  <w15:docId w15:val="{4F360630-77C2-469F-BC42-4775CF594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231"/>
  </w:style>
  <w:style w:type="paragraph" w:styleId="Heading1">
    <w:name w:val="heading 1"/>
    <w:basedOn w:val="Normal"/>
    <w:next w:val="Normal"/>
    <w:link w:val="Heading1Char"/>
    <w:uiPriority w:val="9"/>
    <w:qFormat/>
    <w:rsid w:val="00894D05"/>
    <w:pPr>
      <w:keepNext/>
      <w:keepLines/>
      <w:spacing w:after="0" w:line="240" w:lineRule="auto"/>
      <w:outlineLvl w:val="0"/>
    </w:pPr>
    <w:rPr>
      <w:rFonts w:asciiTheme="majorHAnsi" w:eastAsiaTheme="majorEastAsia" w:hAnsiTheme="majorHAnsi" w:cstheme="majorBidi"/>
      <w:b/>
      <w:bCs/>
      <w:color w:val="6C1D45"/>
      <w:sz w:val="28"/>
      <w:szCs w:val="28"/>
    </w:rPr>
  </w:style>
  <w:style w:type="paragraph" w:styleId="Heading2">
    <w:name w:val="heading 2"/>
    <w:basedOn w:val="Normal"/>
    <w:next w:val="Normal"/>
    <w:link w:val="Heading2Char"/>
    <w:uiPriority w:val="9"/>
    <w:unhideWhenUsed/>
    <w:qFormat/>
    <w:rsid w:val="00894D05"/>
    <w:pPr>
      <w:keepNext/>
      <w:keepLines/>
      <w:spacing w:after="0" w:line="240" w:lineRule="auto"/>
      <w:ind w:left="142"/>
      <w:outlineLvl w:val="1"/>
    </w:pPr>
    <w:rPr>
      <w:rFonts w:asciiTheme="majorHAnsi" w:eastAsiaTheme="majorEastAsia" w:hAnsiTheme="majorHAnsi" w:cstheme="majorBidi"/>
      <w:b/>
      <w:bCs/>
      <w:color w:val="595959" w:themeColor="text1" w:themeTint="A6"/>
      <w:sz w:val="24"/>
      <w:szCs w:val="26"/>
    </w:rPr>
  </w:style>
  <w:style w:type="paragraph" w:styleId="Heading3">
    <w:name w:val="heading 3"/>
    <w:basedOn w:val="Normal"/>
    <w:next w:val="Normal"/>
    <w:link w:val="Heading3Char"/>
    <w:uiPriority w:val="9"/>
    <w:unhideWhenUsed/>
    <w:qFormat/>
    <w:rsid w:val="00B05A05"/>
    <w:pPr>
      <w:keepNext/>
      <w:keepLines/>
      <w:spacing w:before="200" w:after="0"/>
      <w:outlineLvl w:val="2"/>
    </w:pPr>
    <w:rPr>
      <w:rFonts w:asciiTheme="majorHAnsi" w:eastAsiaTheme="majorEastAsia" w:hAnsiTheme="majorHAnsi" w:cstheme="majorBidi"/>
      <w:b/>
      <w:bCs/>
      <w:color w:val="6F6F74" w:themeColor="accent1"/>
    </w:rPr>
  </w:style>
  <w:style w:type="paragraph" w:styleId="Heading4">
    <w:name w:val="heading 4"/>
    <w:basedOn w:val="Normal"/>
    <w:next w:val="Normal"/>
    <w:link w:val="Heading4Char"/>
    <w:uiPriority w:val="9"/>
    <w:unhideWhenUsed/>
    <w:qFormat/>
    <w:rsid w:val="00B05A05"/>
    <w:pPr>
      <w:keepNext/>
      <w:keepLines/>
      <w:spacing w:before="200" w:after="0"/>
      <w:outlineLvl w:val="3"/>
    </w:pPr>
    <w:rPr>
      <w:rFonts w:asciiTheme="majorHAnsi" w:eastAsiaTheme="majorEastAsia" w:hAnsiTheme="majorHAnsi" w:cstheme="majorBidi"/>
      <w:b/>
      <w:bCs/>
      <w:i/>
      <w:iCs/>
      <w:color w:val="6F6F7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47870"/>
    <w:pPr>
      <w:pBdr>
        <w:bottom w:val="single" w:sz="8" w:space="4" w:color="6F6F74" w:themeColor="accent1"/>
      </w:pBdr>
      <w:spacing w:after="300" w:line="240" w:lineRule="auto"/>
      <w:contextualSpacing/>
    </w:pPr>
    <w:rPr>
      <w:rFonts w:asciiTheme="majorHAnsi" w:eastAsiaTheme="majorEastAsia" w:hAnsiTheme="majorHAnsi" w:cstheme="majorBidi"/>
      <w:color w:val="343437" w:themeColor="text2" w:themeShade="BF"/>
      <w:spacing w:val="5"/>
      <w:kern w:val="28"/>
      <w:sz w:val="52"/>
      <w:szCs w:val="52"/>
    </w:rPr>
  </w:style>
  <w:style w:type="character" w:customStyle="1" w:styleId="TitleChar">
    <w:name w:val="Title Char"/>
    <w:basedOn w:val="DefaultParagraphFont"/>
    <w:link w:val="Title"/>
    <w:uiPriority w:val="10"/>
    <w:rsid w:val="00847870"/>
    <w:rPr>
      <w:rFonts w:asciiTheme="majorHAnsi" w:eastAsiaTheme="majorEastAsia" w:hAnsiTheme="majorHAnsi" w:cstheme="majorBidi"/>
      <w:color w:val="343437" w:themeColor="text2" w:themeShade="BF"/>
      <w:spacing w:val="5"/>
      <w:kern w:val="28"/>
      <w:sz w:val="52"/>
      <w:szCs w:val="52"/>
    </w:rPr>
  </w:style>
  <w:style w:type="character" w:customStyle="1" w:styleId="Heading1Char">
    <w:name w:val="Heading 1 Char"/>
    <w:basedOn w:val="DefaultParagraphFont"/>
    <w:link w:val="Heading1"/>
    <w:uiPriority w:val="9"/>
    <w:rsid w:val="00894D05"/>
    <w:rPr>
      <w:rFonts w:asciiTheme="majorHAnsi" w:eastAsiaTheme="majorEastAsia" w:hAnsiTheme="majorHAnsi" w:cstheme="majorBidi"/>
      <w:b/>
      <w:bCs/>
      <w:color w:val="6C1D45"/>
      <w:sz w:val="28"/>
      <w:szCs w:val="28"/>
    </w:rPr>
  </w:style>
  <w:style w:type="character" w:customStyle="1" w:styleId="Heading2Char">
    <w:name w:val="Heading 2 Char"/>
    <w:basedOn w:val="DefaultParagraphFont"/>
    <w:link w:val="Heading2"/>
    <w:uiPriority w:val="9"/>
    <w:rsid w:val="00894D05"/>
    <w:rPr>
      <w:rFonts w:asciiTheme="majorHAnsi" w:eastAsiaTheme="majorEastAsia" w:hAnsiTheme="majorHAnsi" w:cstheme="majorBidi"/>
      <w:b/>
      <w:bCs/>
      <w:color w:val="595959" w:themeColor="text1" w:themeTint="A6"/>
      <w:sz w:val="24"/>
      <w:szCs w:val="26"/>
    </w:rPr>
  </w:style>
  <w:style w:type="character" w:customStyle="1" w:styleId="Heading3Char">
    <w:name w:val="Heading 3 Char"/>
    <w:basedOn w:val="DefaultParagraphFont"/>
    <w:link w:val="Heading3"/>
    <w:uiPriority w:val="9"/>
    <w:rsid w:val="00B05A05"/>
    <w:rPr>
      <w:rFonts w:asciiTheme="majorHAnsi" w:eastAsiaTheme="majorEastAsia" w:hAnsiTheme="majorHAnsi" w:cstheme="majorBidi"/>
      <w:b/>
      <w:bCs/>
      <w:color w:val="6F6F74" w:themeColor="accent1"/>
    </w:rPr>
  </w:style>
  <w:style w:type="character" w:customStyle="1" w:styleId="Heading4Char">
    <w:name w:val="Heading 4 Char"/>
    <w:basedOn w:val="DefaultParagraphFont"/>
    <w:link w:val="Heading4"/>
    <w:uiPriority w:val="9"/>
    <w:rsid w:val="00B05A05"/>
    <w:rPr>
      <w:rFonts w:asciiTheme="majorHAnsi" w:eastAsiaTheme="majorEastAsia" w:hAnsiTheme="majorHAnsi" w:cstheme="majorBidi"/>
      <w:b/>
      <w:bCs/>
      <w:i/>
      <w:iCs/>
      <w:color w:val="6F6F74" w:themeColor="accent1"/>
    </w:rPr>
  </w:style>
  <w:style w:type="paragraph" w:styleId="ListParagraph">
    <w:name w:val="List Paragraph"/>
    <w:basedOn w:val="Normal"/>
    <w:uiPriority w:val="34"/>
    <w:qFormat/>
    <w:rsid w:val="00C909C3"/>
    <w:pPr>
      <w:ind w:left="720"/>
      <w:contextualSpacing/>
    </w:pPr>
  </w:style>
  <w:style w:type="paragraph" w:styleId="Header">
    <w:name w:val="header"/>
    <w:basedOn w:val="Normal"/>
    <w:link w:val="HeaderChar"/>
    <w:uiPriority w:val="99"/>
    <w:unhideWhenUsed/>
    <w:rsid w:val="007A76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690"/>
  </w:style>
  <w:style w:type="paragraph" w:styleId="Footer">
    <w:name w:val="footer"/>
    <w:basedOn w:val="Normal"/>
    <w:link w:val="FooterChar"/>
    <w:uiPriority w:val="99"/>
    <w:unhideWhenUsed/>
    <w:rsid w:val="007A76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690"/>
  </w:style>
  <w:style w:type="paragraph" w:styleId="BalloonText">
    <w:name w:val="Balloon Text"/>
    <w:basedOn w:val="Normal"/>
    <w:link w:val="BalloonTextChar"/>
    <w:uiPriority w:val="99"/>
    <w:semiHidden/>
    <w:unhideWhenUsed/>
    <w:rsid w:val="001B24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4B9"/>
    <w:rPr>
      <w:rFonts w:ascii="Tahoma" w:hAnsi="Tahoma" w:cs="Tahoma"/>
      <w:sz w:val="16"/>
      <w:szCs w:val="16"/>
    </w:rPr>
  </w:style>
  <w:style w:type="character" w:styleId="Hyperlink">
    <w:name w:val="Hyperlink"/>
    <w:basedOn w:val="DefaultParagraphFont"/>
    <w:uiPriority w:val="99"/>
    <w:unhideWhenUsed/>
    <w:rsid w:val="00E9060C"/>
    <w:rPr>
      <w:color w:val="67AABF" w:themeColor="hyperlink"/>
      <w:u w:val="single"/>
    </w:rPr>
  </w:style>
  <w:style w:type="character" w:styleId="FollowedHyperlink">
    <w:name w:val="FollowedHyperlink"/>
    <w:basedOn w:val="DefaultParagraphFont"/>
    <w:uiPriority w:val="99"/>
    <w:semiHidden/>
    <w:unhideWhenUsed/>
    <w:rsid w:val="002764EF"/>
    <w:rPr>
      <w:color w:val="B1B5AB" w:themeColor="followedHyperlink"/>
      <w:u w:val="single"/>
    </w:rPr>
  </w:style>
  <w:style w:type="character" w:styleId="CommentReference">
    <w:name w:val="annotation reference"/>
    <w:basedOn w:val="DefaultParagraphFont"/>
    <w:uiPriority w:val="99"/>
    <w:semiHidden/>
    <w:unhideWhenUsed/>
    <w:rsid w:val="002764EF"/>
    <w:rPr>
      <w:sz w:val="16"/>
      <w:szCs w:val="16"/>
    </w:rPr>
  </w:style>
  <w:style w:type="paragraph" w:styleId="CommentText">
    <w:name w:val="annotation text"/>
    <w:basedOn w:val="Normal"/>
    <w:link w:val="CommentTextChar"/>
    <w:uiPriority w:val="99"/>
    <w:unhideWhenUsed/>
    <w:rsid w:val="002764EF"/>
    <w:pPr>
      <w:spacing w:line="240" w:lineRule="auto"/>
    </w:pPr>
    <w:rPr>
      <w:sz w:val="20"/>
      <w:szCs w:val="20"/>
    </w:rPr>
  </w:style>
  <w:style w:type="character" w:customStyle="1" w:styleId="CommentTextChar">
    <w:name w:val="Comment Text Char"/>
    <w:basedOn w:val="DefaultParagraphFont"/>
    <w:link w:val="CommentText"/>
    <w:uiPriority w:val="99"/>
    <w:rsid w:val="002764EF"/>
    <w:rPr>
      <w:sz w:val="20"/>
      <w:szCs w:val="20"/>
    </w:rPr>
  </w:style>
  <w:style w:type="paragraph" w:styleId="CommentSubject">
    <w:name w:val="annotation subject"/>
    <w:basedOn w:val="CommentText"/>
    <w:next w:val="CommentText"/>
    <w:link w:val="CommentSubjectChar"/>
    <w:uiPriority w:val="99"/>
    <w:semiHidden/>
    <w:unhideWhenUsed/>
    <w:rsid w:val="002764EF"/>
    <w:rPr>
      <w:b/>
      <w:bCs/>
    </w:rPr>
  </w:style>
  <w:style w:type="character" w:customStyle="1" w:styleId="CommentSubjectChar">
    <w:name w:val="Comment Subject Char"/>
    <w:basedOn w:val="CommentTextChar"/>
    <w:link w:val="CommentSubject"/>
    <w:uiPriority w:val="99"/>
    <w:semiHidden/>
    <w:rsid w:val="002764EF"/>
    <w:rPr>
      <w:b/>
      <w:bCs/>
      <w:sz w:val="20"/>
      <w:szCs w:val="20"/>
    </w:rPr>
  </w:style>
  <w:style w:type="paragraph" w:styleId="FootnoteText">
    <w:name w:val="footnote text"/>
    <w:basedOn w:val="Normal"/>
    <w:link w:val="FootnoteTextChar"/>
    <w:uiPriority w:val="99"/>
    <w:semiHidden/>
    <w:unhideWhenUsed/>
    <w:rsid w:val="003D46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469D"/>
    <w:rPr>
      <w:sz w:val="20"/>
      <w:szCs w:val="20"/>
    </w:rPr>
  </w:style>
  <w:style w:type="character" w:styleId="FootnoteReference">
    <w:name w:val="footnote reference"/>
    <w:basedOn w:val="DefaultParagraphFont"/>
    <w:uiPriority w:val="99"/>
    <w:semiHidden/>
    <w:unhideWhenUsed/>
    <w:rsid w:val="003D469D"/>
    <w:rPr>
      <w:vertAlign w:val="superscript"/>
    </w:rPr>
  </w:style>
  <w:style w:type="character" w:styleId="Emphasis">
    <w:name w:val="Emphasis"/>
    <w:uiPriority w:val="20"/>
    <w:qFormat/>
    <w:rsid w:val="000131EF"/>
    <w:rPr>
      <w:i/>
      <w:iCs/>
    </w:rPr>
  </w:style>
  <w:style w:type="paragraph" w:styleId="Revision">
    <w:name w:val="Revision"/>
    <w:hidden/>
    <w:uiPriority w:val="99"/>
    <w:semiHidden/>
    <w:rsid w:val="00394FF8"/>
    <w:pPr>
      <w:spacing w:after="0" w:line="240" w:lineRule="auto"/>
    </w:pPr>
  </w:style>
  <w:style w:type="character" w:styleId="IntenseEmphasis">
    <w:name w:val="Intense Emphasis"/>
    <w:basedOn w:val="DefaultParagraphFont"/>
    <w:uiPriority w:val="21"/>
    <w:qFormat/>
    <w:rsid w:val="002A43E7"/>
    <w:rPr>
      <w:b/>
      <w:bCs/>
      <w:i/>
      <w:iCs/>
      <w:color w:val="6F6F74" w:themeColor="accent1"/>
    </w:rPr>
  </w:style>
  <w:style w:type="character" w:styleId="Strong">
    <w:name w:val="Strong"/>
    <w:uiPriority w:val="22"/>
    <w:qFormat/>
    <w:rsid w:val="00FB7F45"/>
    <w:rPr>
      <w:b/>
      <w:bCs/>
    </w:rPr>
  </w:style>
  <w:style w:type="paragraph" w:customStyle="1" w:styleId="Default">
    <w:name w:val="Default"/>
    <w:rsid w:val="00B732AD"/>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C44CE7"/>
    <w:rPr>
      <w:color w:val="605E5C"/>
      <w:shd w:val="clear" w:color="auto" w:fill="E1DFDD"/>
    </w:rPr>
  </w:style>
  <w:style w:type="character" w:customStyle="1" w:styleId="apple-converted-space">
    <w:name w:val="apple-converted-space"/>
    <w:basedOn w:val="DefaultParagraphFont"/>
    <w:rsid w:val="00AE709D"/>
  </w:style>
  <w:style w:type="paragraph" w:customStyle="1" w:styleId="default0">
    <w:name w:val="default"/>
    <w:basedOn w:val="Normal"/>
    <w:rsid w:val="00514ADF"/>
    <w:pPr>
      <w:spacing w:before="100" w:beforeAutospacing="1" w:after="100" w:afterAutospacing="1" w:line="240" w:lineRule="auto"/>
    </w:pPr>
    <w:rPr>
      <w:rFonts w:ascii="Calibri" w:hAnsi="Calibri" w:cs="Calibri"/>
    </w:rPr>
  </w:style>
  <w:style w:type="paragraph" w:styleId="BodyText">
    <w:name w:val="Body Text"/>
    <w:basedOn w:val="Normal"/>
    <w:link w:val="BodyTextChar"/>
    <w:uiPriority w:val="1"/>
    <w:qFormat/>
    <w:rsid w:val="001B054F"/>
    <w:pPr>
      <w:widowControl w:val="0"/>
      <w:autoSpaceDE w:val="0"/>
      <w:autoSpaceDN w:val="0"/>
      <w:spacing w:after="0" w:line="240" w:lineRule="auto"/>
    </w:pPr>
    <w:rPr>
      <w:rFonts w:ascii="Garamond" w:eastAsia="Garamond" w:hAnsi="Garamond" w:cs="Garamond"/>
      <w:lang w:bidi="en-US"/>
    </w:rPr>
  </w:style>
  <w:style w:type="character" w:customStyle="1" w:styleId="BodyTextChar">
    <w:name w:val="Body Text Char"/>
    <w:basedOn w:val="DefaultParagraphFont"/>
    <w:link w:val="BodyText"/>
    <w:uiPriority w:val="1"/>
    <w:rsid w:val="001B054F"/>
    <w:rPr>
      <w:rFonts w:ascii="Garamond" w:eastAsia="Garamond" w:hAnsi="Garamond" w:cs="Garamond"/>
      <w:lang w:bidi="en-US"/>
    </w:rPr>
  </w:style>
  <w:style w:type="character" w:customStyle="1" w:styleId="cf01">
    <w:name w:val="cf01"/>
    <w:basedOn w:val="DefaultParagraphFont"/>
    <w:rsid w:val="00AB6C32"/>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39504">
      <w:bodyDiv w:val="1"/>
      <w:marLeft w:val="0"/>
      <w:marRight w:val="0"/>
      <w:marTop w:val="0"/>
      <w:marBottom w:val="0"/>
      <w:divBdr>
        <w:top w:val="none" w:sz="0" w:space="0" w:color="auto"/>
        <w:left w:val="none" w:sz="0" w:space="0" w:color="auto"/>
        <w:bottom w:val="none" w:sz="0" w:space="0" w:color="auto"/>
        <w:right w:val="none" w:sz="0" w:space="0" w:color="auto"/>
      </w:divBdr>
    </w:div>
    <w:div w:id="154802035">
      <w:bodyDiv w:val="1"/>
      <w:marLeft w:val="0"/>
      <w:marRight w:val="0"/>
      <w:marTop w:val="0"/>
      <w:marBottom w:val="0"/>
      <w:divBdr>
        <w:top w:val="none" w:sz="0" w:space="0" w:color="auto"/>
        <w:left w:val="none" w:sz="0" w:space="0" w:color="auto"/>
        <w:bottom w:val="none" w:sz="0" w:space="0" w:color="auto"/>
        <w:right w:val="none" w:sz="0" w:space="0" w:color="auto"/>
      </w:divBdr>
    </w:div>
    <w:div w:id="497695666">
      <w:bodyDiv w:val="1"/>
      <w:marLeft w:val="0"/>
      <w:marRight w:val="0"/>
      <w:marTop w:val="0"/>
      <w:marBottom w:val="0"/>
      <w:divBdr>
        <w:top w:val="none" w:sz="0" w:space="0" w:color="auto"/>
        <w:left w:val="none" w:sz="0" w:space="0" w:color="auto"/>
        <w:bottom w:val="none" w:sz="0" w:space="0" w:color="auto"/>
        <w:right w:val="none" w:sz="0" w:space="0" w:color="auto"/>
      </w:divBdr>
    </w:div>
    <w:div w:id="773094839">
      <w:bodyDiv w:val="1"/>
      <w:marLeft w:val="0"/>
      <w:marRight w:val="0"/>
      <w:marTop w:val="0"/>
      <w:marBottom w:val="0"/>
      <w:divBdr>
        <w:top w:val="none" w:sz="0" w:space="0" w:color="auto"/>
        <w:left w:val="none" w:sz="0" w:space="0" w:color="auto"/>
        <w:bottom w:val="none" w:sz="0" w:space="0" w:color="auto"/>
        <w:right w:val="none" w:sz="0" w:space="0" w:color="auto"/>
      </w:divBdr>
    </w:div>
    <w:div w:id="794255310">
      <w:bodyDiv w:val="1"/>
      <w:marLeft w:val="0"/>
      <w:marRight w:val="0"/>
      <w:marTop w:val="0"/>
      <w:marBottom w:val="0"/>
      <w:divBdr>
        <w:top w:val="none" w:sz="0" w:space="0" w:color="auto"/>
        <w:left w:val="none" w:sz="0" w:space="0" w:color="auto"/>
        <w:bottom w:val="none" w:sz="0" w:space="0" w:color="auto"/>
        <w:right w:val="none" w:sz="0" w:space="0" w:color="auto"/>
      </w:divBdr>
    </w:div>
    <w:div w:id="882836883">
      <w:bodyDiv w:val="1"/>
      <w:marLeft w:val="0"/>
      <w:marRight w:val="0"/>
      <w:marTop w:val="0"/>
      <w:marBottom w:val="0"/>
      <w:divBdr>
        <w:top w:val="none" w:sz="0" w:space="0" w:color="auto"/>
        <w:left w:val="none" w:sz="0" w:space="0" w:color="auto"/>
        <w:bottom w:val="none" w:sz="0" w:space="0" w:color="auto"/>
        <w:right w:val="none" w:sz="0" w:space="0" w:color="auto"/>
      </w:divBdr>
    </w:div>
    <w:div w:id="902957208">
      <w:bodyDiv w:val="1"/>
      <w:marLeft w:val="0"/>
      <w:marRight w:val="0"/>
      <w:marTop w:val="0"/>
      <w:marBottom w:val="0"/>
      <w:divBdr>
        <w:top w:val="none" w:sz="0" w:space="0" w:color="auto"/>
        <w:left w:val="none" w:sz="0" w:space="0" w:color="auto"/>
        <w:bottom w:val="none" w:sz="0" w:space="0" w:color="auto"/>
        <w:right w:val="none" w:sz="0" w:space="0" w:color="auto"/>
      </w:divBdr>
    </w:div>
    <w:div w:id="914782186">
      <w:bodyDiv w:val="1"/>
      <w:marLeft w:val="0"/>
      <w:marRight w:val="0"/>
      <w:marTop w:val="0"/>
      <w:marBottom w:val="0"/>
      <w:divBdr>
        <w:top w:val="none" w:sz="0" w:space="0" w:color="auto"/>
        <w:left w:val="none" w:sz="0" w:space="0" w:color="auto"/>
        <w:bottom w:val="none" w:sz="0" w:space="0" w:color="auto"/>
        <w:right w:val="none" w:sz="0" w:space="0" w:color="auto"/>
      </w:divBdr>
    </w:div>
    <w:div w:id="1176114450">
      <w:bodyDiv w:val="1"/>
      <w:marLeft w:val="0"/>
      <w:marRight w:val="0"/>
      <w:marTop w:val="0"/>
      <w:marBottom w:val="0"/>
      <w:divBdr>
        <w:top w:val="none" w:sz="0" w:space="0" w:color="auto"/>
        <w:left w:val="none" w:sz="0" w:space="0" w:color="auto"/>
        <w:bottom w:val="none" w:sz="0" w:space="0" w:color="auto"/>
        <w:right w:val="none" w:sz="0" w:space="0" w:color="auto"/>
      </w:divBdr>
    </w:div>
    <w:div w:id="184690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nancial-affairs.mcmaster.ca/app/uploads/2024/01/AP-01-Guidelines-Temp-for-RP-with-formatting-Apr-15-2024.pdf" TargetMode="External"/><Relationship Id="rId18" Type="http://schemas.openxmlformats.org/officeDocument/2006/relationships/hyperlink" Target="https://www.sshrc-crsh.gc.ca/funding-financement/instructions/ksg_sdpm-ssc_edpm-eng.aspx" TargetMode="External"/><Relationship Id="rId26" Type="http://schemas.openxmlformats.org/officeDocument/2006/relationships/hyperlink" Target="https://www.sshrc-crsh.gc.ca/funding-financement/instructions/cv-eng.aspx" TargetMode="External"/><Relationship Id="rId39" Type="http://schemas.openxmlformats.org/officeDocument/2006/relationships/hyperlink" Target="https://financial-affairs.mcmaster.ca/app/uploads/2024/01/AP-01-Guidelines-Temp-for-RP-with-formatting-Apr-15-2024.pdf" TargetMode="External"/><Relationship Id="rId21" Type="http://schemas.openxmlformats.org/officeDocument/2006/relationships/hyperlink" Target="https://financial-affairs.mcmaster.ca/app/uploads/2024/01/AP-01-Guidelines-Temp-for-RP-with-formatting-Apr-15-2024.pdf" TargetMode="External"/><Relationship Id="rId34" Type="http://schemas.openxmlformats.org/officeDocument/2006/relationships/hyperlink" Target="https://www.sshrc-crsh.gc.ca/funding-financement/instructions/ksg_sdpm-ssc_edpm-eng.aspx" TargetMode="External"/><Relationship Id="rId42" Type="http://schemas.openxmlformats.org/officeDocument/2006/relationships/hyperlink" Target="https://research.mcmaster.ca/research-office-for-administration-development-support-roads/arts-research-board/"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cience.gc.ca/site/science/en/interagency-research-funding/policies-and-guidelines/research-data-management/tri-agency-research-data-management-policy" TargetMode="External"/><Relationship Id="rId20" Type="http://schemas.openxmlformats.org/officeDocument/2006/relationships/hyperlink" Target="https://financial-affairs.mcmaster.ca/app/uploads/2024/01/AP-01-Guidelines-Temp-for-RP-with-formatting-Apr-15-2024.pdf" TargetMode="External"/><Relationship Id="rId29" Type="http://schemas.openxmlformats.org/officeDocument/2006/relationships/hyperlink" Target="https://science.gc.ca/site/science/en/interagency-research-funding/policies-and-guidelines/open-access/tri-agency-open-access-policy-publications" TargetMode="External"/><Relationship Id="rId41" Type="http://schemas.openxmlformats.org/officeDocument/2006/relationships/hyperlink" Target="https://www.sshrc-crsh.gc.ca/funding-financement/instructions/ksg_sdpm-ssc_edpm-eng.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cv-cvc.ca/indexresearcher-eng.frm" TargetMode="External"/><Relationship Id="rId24" Type="http://schemas.openxmlformats.org/officeDocument/2006/relationships/hyperlink" Target="https://www.sshrc-crsh.gc.ca/funding-financement/instructions/ksg_sdpm-ssc_edpm-eng.aspx" TargetMode="External"/><Relationship Id="rId32" Type="http://schemas.openxmlformats.org/officeDocument/2006/relationships/hyperlink" Target="https://science.gc.ca/site/science/en/interagency-research-funding/policies-and-guidelines/research-data-management/tri-agency-research-data-management-policy" TargetMode="External"/><Relationship Id="rId37" Type="http://schemas.openxmlformats.org/officeDocument/2006/relationships/hyperlink" Target="https://financial-affairs.mcmaster.ca/app/uploads/2024/01/AP-01-Guidelines-Temp-for-RP-with-formatting-Apr-15-2024.pdf" TargetMode="External"/><Relationship Id="rId40" Type="http://schemas.openxmlformats.org/officeDocument/2006/relationships/hyperlink" Target="https://www.sshrc-crsh.gc.ca/funding-financement/instructions/cv-eng.aspx" TargetMode="External"/><Relationship Id="rId5" Type="http://schemas.openxmlformats.org/officeDocument/2006/relationships/webSettings" Target="webSettings.xml"/><Relationship Id="rId15" Type="http://schemas.openxmlformats.org/officeDocument/2006/relationships/hyperlink" Target="https://www.sshrc-crsh.gc.ca/funding-financement/instructions/ksg_sdpm-ssc_edpm-eng.aspx" TargetMode="External"/><Relationship Id="rId23" Type="http://schemas.openxmlformats.org/officeDocument/2006/relationships/hyperlink" Target="https://www.sshrc-crsh.gc.ca/funding-financement/instructions/cv-eng.aspx" TargetMode="External"/><Relationship Id="rId28" Type="http://schemas.openxmlformats.org/officeDocument/2006/relationships/hyperlink" Target="https://ccv-cvc.ca/indexresearcher-eng.frm" TargetMode="External"/><Relationship Id="rId36" Type="http://schemas.openxmlformats.org/officeDocument/2006/relationships/hyperlink" Target="https://financial-affairs.mcmaster.ca/app/uploads/2019/01/AP-01_Guidelines_Revised_FINAL_July_2021.pdf" TargetMode="External"/><Relationship Id="rId10" Type="http://schemas.openxmlformats.org/officeDocument/2006/relationships/hyperlink" Target="https://www.sshrc-crsh.gc.ca/funding-financement/instructions/ksg_sdpm-ssc_edpm-eng.aspx" TargetMode="External"/><Relationship Id="rId19" Type="http://schemas.openxmlformats.org/officeDocument/2006/relationships/hyperlink" Target="https://ccv-cvc.ca/indexresearcher-eng.frm" TargetMode="External"/><Relationship Id="rId31" Type="http://schemas.openxmlformats.org/officeDocument/2006/relationships/hyperlink" Target="https://www.sshrc-crsh.gc.ca/funding-financement/instructions/ksg_sdpm-ssc_edpm-eng.aspx"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shrc-crsh.gc.ca/funding-financement/instructions/cv-eng.aspx" TargetMode="External"/><Relationship Id="rId22" Type="http://schemas.openxmlformats.org/officeDocument/2006/relationships/hyperlink" Target="https://financial-affairs.mcmaster.ca/app/uploads/2024/01/AP-01-Guidelines-Temp-for-RP-with-formatting-Apr-15-2024.pdf" TargetMode="External"/><Relationship Id="rId27" Type="http://schemas.openxmlformats.org/officeDocument/2006/relationships/hyperlink" Target="https://www.sshrc-crsh.gc.ca/funding-financement/instructions/ksg_sdpm-ssc_edpm-eng.aspx" TargetMode="External"/><Relationship Id="rId30" Type="http://schemas.openxmlformats.org/officeDocument/2006/relationships/hyperlink" Target="https://www.sshrc-crsh.gc.ca/funding-financement/instructions/cv-eng.aspx" TargetMode="External"/><Relationship Id="rId35" Type="http://schemas.openxmlformats.org/officeDocument/2006/relationships/hyperlink" Target="https://ccv-cvc.ca/indexresearcher-eng.frm"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financial-affairs.mcmaster.ca/app/uploads/2024/01/AP-01-Guidelines-Temp-for-RP-with-formatting-Apr-15-2024.pdf" TargetMode="External"/><Relationship Id="rId17" Type="http://schemas.openxmlformats.org/officeDocument/2006/relationships/hyperlink" Target="https://www.sshrc-crsh.gc.ca/funding-financement/instructions/cv-eng.aspx" TargetMode="External"/><Relationship Id="rId25" Type="http://schemas.openxmlformats.org/officeDocument/2006/relationships/hyperlink" Target="https://science.gc.ca/site/science/en/interagency-research-funding/policies-and-guidelines/research-data-management/tri-agency-research-data-management-policy" TargetMode="External"/><Relationship Id="rId33" Type="http://schemas.openxmlformats.org/officeDocument/2006/relationships/hyperlink" Target="https://www.sshrc-crsh.gc.ca/funding-financement/instructions/cv-eng.aspx" TargetMode="External"/><Relationship Id="rId38" Type="http://schemas.openxmlformats.org/officeDocument/2006/relationships/hyperlink" Target="https://financial-affairs.mcmaster.ca/app/uploads/2019/01/AP-01_Guidelines_Revised_FINAL_July_2021.pdf"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lackTi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BlackTie">
      <a:fillStyleLst>
        <a:solidFill>
          <a:schemeClr val="phClr"/>
        </a:solidFill>
        <a:gradFill rotWithShape="1">
          <a:gsLst>
            <a:gs pos="0">
              <a:schemeClr val="phClr">
                <a:tint val="45000"/>
                <a:satMod val="220000"/>
              </a:schemeClr>
            </a:gs>
            <a:gs pos="30000">
              <a:schemeClr val="phClr">
                <a:tint val="61000"/>
                <a:satMod val="220000"/>
              </a:schemeClr>
            </a:gs>
            <a:gs pos="45000">
              <a:schemeClr val="phClr">
                <a:tint val="66000"/>
                <a:satMod val="240000"/>
              </a:schemeClr>
            </a:gs>
            <a:gs pos="55000">
              <a:schemeClr val="phClr">
                <a:tint val="66000"/>
                <a:satMod val="220000"/>
              </a:schemeClr>
            </a:gs>
            <a:gs pos="73000">
              <a:schemeClr val="phClr">
                <a:tint val="61000"/>
                <a:satMod val="220000"/>
              </a:schemeClr>
            </a:gs>
            <a:gs pos="100000">
              <a:schemeClr val="phClr">
                <a:tint val="45000"/>
                <a:satMod val="220000"/>
              </a:schemeClr>
            </a:gs>
          </a:gsLst>
          <a:lin ang="950000" scaled="1"/>
        </a:gradFill>
        <a:gradFill rotWithShape="1">
          <a:gsLst>
            <a:gs pos="0">
              <a:schemeClr val="phClr">
                <a:shade val="63000"/>
                <a:satMod val="110000"/>
              </a:schemeClr>
            </a:gs>
            <a:gs pos="30000">
              <a:schemeClr val="phClr">
                <a:shade val="90000"/>
                <a:satMod val="120000"/>
              </a:schemeClr>
            </a:gs>
            <a:gs pos="45000">
              <a:schemeClr val="phClr">
                <a:shade val="100000"/>
                <a:satMod val="128000"/>
              </a:schemeClr>
            </a:gs>
            <a:gs pos="55000">
              <a:schemeClr val="phClr">
                <a:shade val="100000"/>
                <a:satMod val="128000"/>
              </a:schemeClr>
            </a:gs>
            <a:gs pos="73000">
              <a:schemeClr val="phClr">
                <a:shade val="90000"/>
                <a:satMod val="120000"/>
              </a:schemeClr>
            </a:gs>
            <a:gs pos="100000">
              <a:schemeClr val="phClr">
                <a:shade val="63000"/>
                <a:satMod val="110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1909" dir="5400000" rotWithShape="0">
              <a:srgbClr val="000000">
                <a:alpha val="40000"/>
              </a:srgbClr>
            </a:outerShdw>
          </a:effectLst>
        </a:effectStyle>
        <a:effectStyle>
          <a:effectLst>
            <a:outerShdw blurRad="57150" dist="38100" dir="5400000" algn="br" rotWithShape="0">
              <a:srgbClr val="000000">
                <a:alpha val="57000"/>
              </a:srgbClr>
            </a:outerShdw>
          </a:effectLst>
          <a:scene3d>
            <a:camera prst="orthographicFront">
              <a:rot lat="0" lon="0" rev="0"/>
            </a:camera>
            <a:lightRig rig="twoPt" dir="t">
              <a:rot lat="0" lon="0" rev="1800000"/>
            </a:lightRig>
          </a:scene3d>
          <a:sp3d>
            <a:bevelT w="44450" h="31750" prst="coolSlant"/>
          </a:sp3d>
        </a:effectStyle>
      </a:effectStyleLst>
      <a:bgFillStyleLst>
        <a:solidFill>
          <a:schemeClr val="phClr"/>
        </a:solidFill>
        <a:blipFill rotWithShape="1">
          <a:blip xmlns:r="http://schemas.openxmlformats.org/officeDocument/2006/relationships" r:embed="rId1">
            <a:duotone>
              <a:schemeClr val="phClr">
                <a:tint val="95000"/>
              </a:schemeClr>
              <a:schemeClr val="phClr">
                <a:shade val="20000"/>
              </a:schemeClr>
            </a:duotone>
          </a:blip>
          <a:stretch/>
        </a:blipFill>
        <a:gradFill rotWithShape="1">
          <a:gsLst>
            <a:gs pos="0">
              <a:schemeClr val="phClr">
                <a:tint val="40000"/>
                <a:satMod val="350000"/>
              </a:schemeClr>
            </a:gs>
            <a:gs pos="40000">
              <a:schemeClr val="phClr">
                <a:tint val="45000"/>
                <a:shade val="99000"/>
                <a:satMod val="350000"/>
              </a:schemeClr>
            </a:gs>
            <a:gs pos="100000">
              <a:schemeClr val="phClr">
                <a:shade val="30000"/>
                <a:satMod val="255000"/>
              </a:schemeClr>
            </a:gs>
          </a:gsLst>
          <a:path path="circle">
            <a:fillToRect l="50000" t="-80000" r="50000" b="18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AAE40-BFB6-4CFF-9D3E-C9B2915CB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6449</Words>
  <Characters>36765</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Aubie</dc:creator>
  <cp:lastModifiedBy>Gervais, Muriel</cp:lastModifiedBy>
  <cp:revision>2</cp:revision>
  <cp:lastPrinted>2023-01-18T19:10:00Z</cp:lastPrinted>
  <dcterms:created xsi:type="dcterms:W3CDTF">2024-09-18T16:14:00Z</dcterms:created>
  <dcterms:modified xsi:type="dcterms:W3CDTF">2024-09-18T16:14:00Z</dcterms:modified>
</cp:coreProperties>
</file>